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580" w:lineRule="exact"/>
        <w:rPr>
          <w:rFonts w:hint="default" w:ascii="Times New Roman" w:hAnsi="Times New Roman" w:eastAsia="黑体" w:cs="Times New Roman"/>
          <w:b w:val="0"/>
          <w:bCs/>
          <w:color w:val="auto"/>
          <w:sz w:val="32"/>
          <w:szCs w:val="32"/>
        </w:rPr>
      </w:pPr>
      <w:r>
        <w:rPr>
          <w:rFonts w:hint="default" w:ascii="Times New Roman" w:hAnsi="Times New Roman" w:eastAsia="黑体" w:cs="Times New Roman"/>
          <w:b w:val="0"/>
          <w:bCs/>
          <w:color w:val="auto"/>
          <w:sz w:val="32"/>
          <w:szCs w:val="32"/>
        </w:rPr>
        <w:t>附件</w:t>
      </w:r>
    </w:p>
    <w:p>
      <w:pPr>
        <w:spacing w:line="580" w:lineRule="exact"/>
        <w:jc w:val="both"/>
        <w:rPr>
          <w:rStyle w:val="36"/>
          <w:rFonts w:eastAsia="方正小标宋简体"/>
          <w:color w:val="auto"/>
          <w:sz w:val="40"/>
          <w:szCs w:val="40"/>
        </w:rPr>
      </w:pPr>
    </w:p>
    <w:p>
      <w:pPr>
        <w:spacing w:line="580" w:lineRule="exact"/>
        <w:ind w:firstLine="800"/>
        <w:jc w:val="center"/>
        <w:rPr>
          <w:rStyle w:val="36"/>
          <w:rFonts w:eastAsia="方正小标宋简体"/>
          <w:color w:val="auto"/>
          <w:sz w:val="40"/>
          <w:szCs w:val="40"/>
        </w:rPr>
      </w:pPr>
    </w:p>
    <w:p>
      <w:pPr>
        <w:spacing w:line="580" w:lineRule="exact"/>
        <w:ind w:firstLine="800"/>
        <w:jc w:val="center"/>
        <w:rPr>
          <w:rStyle w:val="36"/>
          <w:rFonts w:eastAsia="方正小标宋简体"/>
          <w:color w:val="auto"/>
          <w:sz w:val="40"/>
          <w:szCs w:val="40"/>
        </w:rPr>
      </w:pPr>
    </w:p>
    <w:p>
      <w:pPr>
        <w:spacing w:line="580" w:lineRule="exact"/>
        <w:jc w:val="center"/>
        <w:rPr>
          <w:rFonts w:eastAsia="黑体"/>
          <w:b/>
          <w:color w:val="auto"/>
          <w:sz w:val="52"/>
          <w:szCs w:val="52"/>
        </w:rPr>
      </w:pPr>
      <w:r>
        <w:rPr>
          <w:rFonts w:eastAsia="黑体"/>
          <w:b/>
          <w:color w:val="auto"/>
          <w:sz w:val="52"/>
          <w:szCs w:val="52"/>
        </w:rPr>
        <w:t>四川省生活垃圾焚烧发电</w:t>
      </w:r>
    </w:p>
    <w:p>
      <w:pPr>
        <w:spacing w:line="580" w:lineRule="exact"/>
        <w:jc w:val="center"/>
        <w:rPr>
          <w:rFonts w:eastAsia="黑体"/>
          <w:b/>
          <w:color w:val="auto"/>
          <w:sz w:val="52"/>
          <w:szCs w:val="52"/>
        </w:rPr>
      </w:pPr>
      <w:r>
        <w:rPr>
          <w:rFonts w:hint="eastAsia" w:eastAsia="黑体"/>
          <w:b/>
          <w:color w:val="auto"/>
          <w:sz w:val="52"/>
          <w:szCs w:val="52"/>
        </w:rPr>
        <w:t>中长期</w:t>
      </w:r>
      <w:r>
        <w:rPr>
          <w:rFonts w:hint="eastAsia" w:eastAsia="黑体"/>
          <w:b/>
          <w:color w:val="auto"/>
          <w:sz w:val="52"/>
          <w:szCs w:val="52"/>
          <w:lang w:eastAsia="zh-CN"/>
        </w:rPr>
        <w:t>专项</w:t>
      </w:r>
      <w:r>
        <w:rPr>
          <w:rFonts w:eastAsia="黑体"/>
          <w:b/>
          <w:color w:val="auto"/>
          <w:sz w:val="52"/>
          <w:szCs w:val="52"/>
        </w:rPr>
        <w:t>规划</w:t>
      </w:r>
    </w:p>
    <w:p>
      <w:pPr>
        <w:spacing w:line="580" w:lineRule="exact"/>
        <w:ind w:firstLine="883"/>
        <w:jc w:val="center"/>
        <w:rPr>
          <w:b/>
          <w:bCs/>
          <w:color w:val="auto"/>
          <w:sz w:val="44"/>
          <w:szCs w:val="44"/>
        </w:rPr>
      </w:pPr>
    </w:p>
    <w:p>
      <w:pPr>
        <w:spacing w:line="580" w:lineRule="exact"/>
        <w:ind w:firstLine="800"/>
        <w:jc w:val="center"/>
        <w:rPr>
          <w:rStyle w:val="36"/>
          <w:rFonts w:eastAsia="方正小标宋简体"/>
          <w:b w:val="0"/>
          <w:color w:val="auto"/>
          <w:sz w:val="40"/>
          <w:szCs w:val="40"/>
        </w:rPr>
      </w:pPr>
    </w:p>
    <w:p>
      <w:pPr>
        <w:spacing w:line="580" w:lineRule="exact"/>
        <w:jc w:val="center"/>
        <w:rPr>
          <w:rStyle w:val="36"/>
          <w:rFonts w:eastAsia="方正小标宋简体"/>
          <w:b w:val="0"/>
          <w:color w:val="auto"/>
          <w:sz w:val="40"/>
          <w:szCs w:val="40"/>
        </w:rPr>
      </w:pPr>
    </w:p>
    <w:p>
      <w:pPr>
        <w:spacing w:line="580" w:lineRule="exact"/>
        <w:ind w:firstLine="800"/>
        <w:jc w:val="center"/>
        <w:rPr>
          <w:rStyle w:val="36"/>
          <w:rFonts w:eastAsia="方正小标宋简体"/>
          <w:b w:val="0"/>
          <w:color w:val="auto"/>
          <w:sz w:val="40"/>
          <w:szCs w:val="40"/>
        </w:rPr>
      </w:pPr>
    </w:p>
    <w:p>
      <w:pPr>
        <w:spacing w:line="580" w:lineRule="exact"/>
        <w:ind w:firstLine="800"/>
        <w:jc w:val="center"/>
        <w:rPr>
          <w:rStyle w:val="36"/>
          <w:rFonts w:eastAsia="方正小标宋简体"/>
          <w:b w:val="0"/>
          <w:color w:val="auto"/>
          <w:sz w:val="40"/>
          <w:szCs w:val="40"/>
        </w:rPr>
      </w:pPr>
    </w:p>
    <w:p>
      <w:pPr>
        <w:spacing w:line="580" w:lineRule="exact"/>
        <w:ind w:firstLine="800"/>
        <w:jc w:val="center"/>
        <w:rPr>
          <w:rStyle w:val="36"/>
          <w:rFonts w:eastAsia="方正小标宋简体"/>
          <w:b w:val="0"/>
          <w:color w:val="auto"/>
          <w:sz w:val="40"/>
          <w:szCs w:val="40"/>
        </w:rPr>
      </w:pPr>
    </w:p>
    <w:p>
      <w:pPr>
        <w:spacing w:line="580" w:lineRule="exact"/>
        <w:ind w:firstLine="800"/>
        <w:jc w:val="center"/>
        <w:rPr>
          <w:rStyle w:val="36"/>
          <w:rFonts w:eastAsia="方正小标宋简体"/>
          <w:b w:val="0"/>
          <w:color w:val="auto"/>
          <w:sz w:val="40"/>
          <w:szCs w:val="40"/>
        </w:rPr>
      </w:pPr>
    </w:p>
    <w:p>
      <w:pPr>
        <w:spacing w:line="580" w:lineRule="exact"/>
        <w:ind w:firstLine="800"/>
        <w:jc w:val="center"/>
        <w:rPr>
          <w:rStyle w:val="36"/>
          <w:rFonts w:eastAsia="方正小标宋简体"/>
          <w:b w:val="0"/>
          <w:color w:val="auto"/>
          <w:sz w:val="40"/>
          <w:szCs w:val="40"/>
        </w:rPr>
      </w:pPr>
    </w:p>
    <w:p>
      <w:pPr>
        <w:spacing w:line="580" w:lineRule="exact"/>
        <w:ind w:firstLine="800"/>
        <w:jc w:val="center"/>
        <w:rPr>
          <w:rStyle w:val="36"/>
          <w:rFonts w:eastAsia="方正小标宋简体"/>
          <w:b w:val="0"/>
          <w:color w:val="auto"/>
          <w:sz w:val="40"/>
          <w:szCs w:val="40"/>
        </w:rPr>
      </w:pPr>
    </w:p>
    <w:p>
      <w:pPr>
        <w:spacing w:line="580" w:lineRule="exact"/>
        <w:ind w:firstLine="800"/>
        <w:jc w:val="center"/>
        <w:rPr>
          <w:rStyle w:val="36"/>
          <w:rFonts w:eastAsia="方正小标宋简体"/>
          <w:b w:val="0"/>
          <w:color w:val="auto"/>
          <w:sz w:val="40"/>
          <w:szCs w:val="40"/>
        </w:rPr>
      </w:pPr>
    </w:p>
    <w:p>
      <w:pPr>
        <w:spacing w:line="580" w:lineRule="exact"/>
        <w:ind w:firstLine="800"/>
        <w:jc w:val="center"/>
        <w:rPr>
          <w:rStyle w:val="36"/>
          <w:rFonts w:eastAsia="方正小标宋简体"/>
          <w:b w:val="0"/>
          <w:color w:val="auto"/>
          <w:sz w:val="40"/>
          <w:szCs w:val="40"/>
        </w:rPr>
      </w:pPr>
    </w:p>
    <w:p>
      <w:pPr>
        <w:spacing w:line="580" w:lineRule="exact"/>
        <w:jc w:val="center"/>
        <w:rPr>
          <w:rFonts w:eastAsia="楷体_GB2312"/>
          <w:color w:val="auto"/>
          <w:szCs w:val="32"/>
        </w:rPr>
      </w:pPr>
      <w:r>
        <w:rPr>
          <w:rFonts w:eastAsia="楷体_GB2312"/>
          <w:color w:val="auto"/>
          <w:szCs w:val="32"/>
        </w:rPr>
        <w:t>四川省发展和改革委员会</w:t>
      </w:r>
    </w:p>
    <w:p>
      <w:pPr>
        <w:spacing w:line="580" w:lineRule="exact"/>
        <w:jc w:val="center"/>
        <w:rPr>
          <w:rFonts w:eastAsia="楷体_GB2312"/>
          <w:color w:val="auto"/>
          <w:szCs w:val="32"/>
        </w:rPr>
      </w:pPr>
      <w:r>
        <w:rPr>
          <w:rFonts w:eastAsia="楷体_GB2312"/>
          <w:color w:val="auto"/>
          <w:szCs w:val="32"/>
        </w:rPr>
        <w:t>2019年</w:t>
      </w:r>
      <w:r>
        <w:rPr>
          <w:rFonts w:hint="eastAsia" w:eastAsia="楷体_GB2312"/>
          <w:color w:val="auto"/>
          <w:szCs w:val="32"/>
          <w:lang w:val="en-US" w:eastAsia="zh-CN"/>
        </w:rPr>
        <w:t>6</w:t>
      </w:r>
      <w:r>
        <w:rPr>
          <w:rFonts w:eastAsia="楷体_GB2312"/>
          <w:color w:val="auto"/>
          <w:szCs w:val="32"/>
        </w:rPr>
        <w:t>月</w:t>
      </w:r>
    </w:p>
    <w:p>
      <w:pPr>
        <w:pStyle w:val="9"/>
        <w:spacing w:line="580" w:lineRule="exact"/>
        <w:ind w:firstLine="223" w:firstLineChars="62"/>
        <w:jc w:val="center"/>
        <w:rPr>
          <w:rFonts w:hint="eastAsia" w:eastAsia="方正小标宋简体"/>
          <w:color w:val="auto"/>
          <w:kern w:val="0"/>
          <w:sz w:val="36"/>
          <w:szCs w:val="36"/>
        </w:rPr>
      </w:pPr>
      <w:r>
        <w:rPr>
          <w:rFonts w:eastAsia="方正小标宋简体"/>
          <w:color w:val="auto"/>
          <w:kern w:val="0"/>
          <w:sz w:val="36"/>
          <w:szCs w:val="36"/>
        </w:rPr>
        <w:br w:type="page"/>
      </w:r>
    </w:p>
    <w:p>
      <w:pPr>
        <w:pStyle w:val="9"/>
        <w:spacing w:line="580" w:lineRule="exact"/>
        <w:ind w:firstLine="198" w:firstLineChars="62"/>
        <w:jc w:val="center"/>
        <w:rPr>
          <w:rFonts w:eastAsia="黑体"/>
          <w:color w:val="auto"/>
          <w:sz w:val="32"/>
          <w:szCs w:val="32"/>
        </w:rPr>
      </w:pPr>
      <w:r>
        <w:rPr>
          <w:rFonts w:eastAsia="黑体"/>
          <w:color w:val="auto"/>
          <w:sz w:val="32"/>
          <w:szCs w:val="32"/>
        </w:rPr>
        <w:t>目   录</w:t>
      </w:r>
    </w:p>
    <w:p>
      <w:pPr>
        <w:pStyle w:val="9"/>
        <w:spacing w:line="360" w:lineRule="exact"/>
        <w:ind w:firstLine="640"/>
        <w:jc w:val="center"/>
        <w:rPr>
          <w:color w:val="auto"/>
          <w:sz w:val="32"/>
          <w:szCs w:val="32"/>
        </w:rPr>
      </w:pPr>
    </w:p>
    <w:p>
      <w:pPr>
        <w:pStyle w:val="24"/>
        <w:tabs>
          <w:tab w:val="right" w:leader="dot" w:pos="8720"/>
        </w:tabs>
        <w:rPr>
          <w:rFonts w:ascii="黑体" w:hAnsi="黑体" w:eastAsia="黑体" w:cs="Times New Roman"/>
          <w:b w:val="0"/>
          <w:bCs w:val="0"/>
          <w:i w:val="0"/>
          <w:iCs w:val="0"/>
          <w:color w:val="auto"/>
        </w:rPr>
      </w:pPr>
      <w:r>
        <w:rPr>
          <w:rFonts w:ascii="Times New Roman" w:hAnsi="Times New Roman" w:eastAsia="黑体" w:cs="Times New Roman"/>
          <w:b w:val="0"/>
          <w:i w:val="0"/>
          <w:color w:val="auto"/>
        </w:rPr>
        <w:fldChar w:fldCharType="begin"/>
      </w:r>
      <w:r>
        <w:rPr>
          <w:rFonts w:ascii="Times New Roman" w:hAnsi="Times New Roman" w:eastAsia="黑体" w:cs="Times New Roman"/>
          <w:b w:val="0"/>
          <w:i w:val="0"/>
          <w:color w:val="auto"/>
        </w:rPr>
        <w:instrText xml:space="preserve"> TOC \o "1-3" \h \z \u </w:instrText>
      </w:r>
      <w:r>
        <w:rPr>
          <w:rFonts w:ascii="Times New Roman" w:hAnsi="Times New Roman" w:eastAsia="黑体" w:cs="Times New Roman"/>
          <w:b w:val="0"/>
          <w:i w:val="0"/>
          <w:color w:val="auto"/>
        </w:rPr>
        <w:fldChar w:fldCharType="separate"/>
      </w:r>
      <w:r>
        <w:rPr>
          <w:rStyle w:val="40"/>
          <w:rFonts w:ascii="黑体" w:hAnsi="黑体" w:eastAsia="黑体"/>
          <w:b w:val="0"/>
          <w:i w:val="0"/>
          <w:color w:val="auto"/>
        </w:rPr>
        <w:fldChar w:fldCharType="begin"/>
      </w:r>
      <w:r>
        <w:rPr>
          <w:rStyle w:val="40"/>
          <w:rFonts w:ascii="黑体" w:hAnsi="黑体" w:eastAsia="黑体"/>
          <w:b w:val="0"/>
          <w:i w:val="0"/>
          <w:color w:val="auto"/>
        </w:rPr>
        <w:instrText xml:space="preserve"> </w:instrText>
      </w:r>
      <w:r>
        <w:rPr>
          <w:rFonts w:ascii="黑体" w:hAnsi="黑体" w:eastAsia="黑体"/>
          <w:b w:val="0"/>
          <w:i w:val="0"/>
          <w:color w:val="auto"/>
        </w:rPr>
        <w:instrText xml:space="preserve">HYPERLINK \l "_Toc1569704"</w:instrText>
      </w:r>
      <w:r>
        <w:rPr>
          <w:rStyle w:val="40"/>
          <w:rFonts w:ascii="黑体" w:hAnsi="黑体" w:eastAsia="黑体"/>
          <w:b w:val="0"/>
          <w:i w:val="0"/>
          <w:color w:val="auto"/>
        </w:rPr>
        <w:instrText xml:space="preserve"> </w:instrText>
      </w:r>
      <w:r>
        <w:rPr>
          <w:rStyle w:val="40"/>
          <w:rFonts w:ascii="黑体" w:hAnsi="黑体" w:eastAsia="黑体"/>
          <w:b w:val="0"/>
          <w:i w:val="0"/>
          <w:color w:val="auto"/>
        </w:rPr>
        <w:fldChar w:fldCharType="separate"/>
      </w:r>
      <w:r>
        <w:rPr>
          <w:rStyle w:val="40"/>
          <w:rFonts w:hint="eastAsia" w:ascii="黑体" w:hAnsi="黑体" w:eastAsia="黑体"/>
          <w:b w:val="0"/>
          <w:i w:val="0"/>
          <w:color w:val="auto"/>
        </w:rPr>
        <w:t>前</w:t>
      </w:r>
      <w:r>
        <w:rPr>
          <w:rStyle w:val="40"/>
          <w:rFonts w:ascii="黑体" w:hAnsi="黑体" w:eastAsia="黑体"/>
          <w:b w:val="0"/>
          <w:i w:val="0"/>
          <w:color w:val="auto"/>
        </w:rPr>
        <w:t xml:space="preserve">   </w:t>
      </w:r>
      <w:r>
        <w:rPr>
          <w:rStyle w:val="40"/>
          <w:rFonts w:hint="eastAsia" w:ascii="黑体" w:hAnsi="黑体" w:eastAsia="黑体"/>
          <w:b w:val="0"/>
          <w:i w:val="0"/>
          <w:color w:val="auto"/>
        </w:rPr>
        <w:t>言</w:t>
      </w:r>
      <w:r>
        <w:rPr>
          <w:rFonts w:ascii="黑体" w:hAnsi="黑体" w:eastAsia="黑体"/>
          <w:b w:val="0"/>
          <w:i w:val="0"/>
          <w:color w:val="auto"/>
        </w:rPr>
        <w:tab/>
      </w:r>
      <w:r>
        <w:rPr>
          <w:rFonts w:ascii="黑体" w:hAnsi="黑体" w:eastAsia="黑体"/>
          <w:b w:val="0"/>
          <w:i w:val="0"/>
          <w:color w:val="auto"/>
        </w:rPr>
        <w:fldChar w:fldCharType="begin"/>
      </w:r>
      <w:r>
        <w:rPr>
          <w:rFonts w:ascii="黑体" w:hAnsi="黑体" w:eastAsia="黑体"/>
          <w:b w:val="0"/>
          <w:i w:val="0"/>
          <w:color w:val="auto"/>
        </w:rPr>
        <w:instrText xml:space="preserve"> PAGEREF _Toc1569704 \h </w:instrText>
      </w:r>
      <w:r>
        <w:rPr>
          <w:rFonts w:ascii="黑体" w:hAnsi="黑体" w:eastAsia="黑体"/>
          <w:b w:val="0"/>
          <w:i w:val="0"/>
          <w:color w:val="auto"/>
        </w:rPr>
        <w:fldChar w:fldCharType="separate"/>
      </w:r>
      <w:r>
        <w:rPr>
          <w:rFonts w:ascii="黑体" w:hAnsi="黑体" w:eastAsia="黑体"/>
          <w:b w:val="0"/>
          <w:i w:val="0"/>
          <w:color w:val="auto"/>
        </w:rPr>
        <w:t>4</w:t>
      </w:r>
      <w:r>
        <w:rPr>
          <w:rFonts w:ascii="黑体" w:hAnsi="黑体" w:eastAsia="黑体"/>
          <w:b w:val="0"/>
          <w:i w:val="0"/>
          <w:color w:val="auto"/>
        </w:rPr>
        <w:fldChar w:fldCharType="end"/>
      </w:r>
      <w:r>
        <w:rPr>
          <w:rStyle w:val="40"/>
          <w:rFonts w:ascii="黑体" w:hAnsi="黑体" w:eastAsia="黑体"/>
          <w:b w:val="0"/>
          <w:i w:val="0"/>
          <w:color w:val="auto"/>
        </w:rPr>
        <w:fldChar w:fldCharType="end"/>
      </w:r>
    </w:p>
    <w:p>
      <w:pPr>
        <w:pStyle w:val="24"/>
        <w:tabs>
          <w:tab w:val="right" w:leader="dot" w:pos="8720"/>
        </w:tabs>
        <w:rPr>
          <w:rFonts w:ascii="黑体" w:hAnsi="黑体" w:eastAsia="黑体" w:cs="Times New Roman"/>
          <w:b w:val="0"/>
          <w:bCs w:val="0"/>
          <w:i w:val="0"/>
          <w:iCs w:val="0"/>
          <w:color w:val="auto"/>
        </w:rPr>
      </w:pPr>
      <w:r>
        <w:rPr>
          <w:rStyle w:val="40"/>
          <w:rFonts w:ascii="黑体" w:hAnsi="黑体" w:eastAsia="黑体"/>
          <w:b w:val="0"/>
          <w:i w:val="0"/>
          <w:color w:val="auto"/>
        </w:rPr>
        <w:fldChar w:fldCharType="begin"/>
      </w:r>
      <w:r>
        <w:rPr>
          <w:rStyle w:val="40"/>
          <w:rFonts w:ascii="黑体" w:hAnsi="黑体" w:eastAsia="黑体"/>
          <w:b w:val="0"/>
          <w:i w:val="0"/>
          <w:color w:val="auto"/>
        </w:rPr>
        <w:instrText xml:space="preserve"> </w:instrText>
      </w:r>
      <w:r>
        <w:rPr>
          <w:rFonts w:ascii="黑体" w:hAnsi="黑体" w:eastAsia="黑体"/>
          <w:b w:val="0"/>
          <w:i w:val="0"/>
          <w:color w:val="auto"/>
        </w:rPr>
        <w:instrText xml:space="preserve">HYPERLINK \l "_Toc1569705"</w:instrText>
      </w:r>
      <w:r>
        <w:rPr>
          <w:rStyle w:val="40"/>
          <w:rFonts w:ascii="黑体" w:hAnsi="黑体" w:eastAsia="黑体"/>
          <w:b w:val="0"/>
          <w:i w:val="0"/>
          <w:color w:val="auto"/>
        </w:rPr>
        <w:instrText xml:space="preserve"> </w:instrText>
      </w:r>
      <w:r>
        <w:rPr>
          <w:rStyle w:val="40"/>
          <w:rFonts w:ascii="黑体" w:hAnsi="黑体" w:eastAsia="黑体"/>
          <w:b w:val="0"/>
          <w:i w:val="0"/>
          <w:color w:val="auto"/>
        </w:rPr>
        <w:fldChar w:fldCharType="separate"/>
      </w:r>
      <w:r>
        <w:rPr>
          <w:rStyle w:val="40"/>
          <w:rFonts w:hint="eastAsia" w:ascii="黑体" w:hAnsi="黑体" w:eastAsia="黑体"/>
          <w:b w:val="0"/>
          <w:i w:val="0"/>
          <w:color w:val="auto"/>
        </w:rPr>
        <w:t>一、规划背景</w:t>
      </w:r>
      <w:r>
        <w:rPr>
          <w:rFonts w:ascii="黑体" w:hAnsi="黑体" w:eastAsia="黑体"/>
          <w:b w:val="0"/>
          <w:i w:val="0"/>
          <w:color w:val="auto"/>
        </w:rPr>
        <w:tab/>
      </w:r>
      <w:r>
        <w:rPr>
          <w:rFonts w:ascii="黑体" w:hAnsi="黑体" w:eastAsia="黑体"/>
          <w:b w:val="0"/>
          <w:i w:val="0"/>
          <w:color w:val="auto"/>
        </w:rPr>
        <w:fldChar w:fldCharType="begin"/>
      </w:r>
      <w:r>
        <w:rPr>
          <w:rFonts w:ascii="黑体" w:hAnsi="黑体" w:eastAsia="黑体"/>
          <w:b w:val="0"/>
          <w:i w:val="0"/>
          <w:color w:val="auto"/>
        </w:rPr>
        <w:instrText xml:space="preserve"> PAGEREF _Toc1569705 \h </w:instrText>
      </w:r>
      <w:r>
        <w:rPr>
          <w:rFonts w:ascii="黑体" w:hAnsi="黑体" w:eastAsia="黑体"/>
          <w:b w:val="0"/>
          <w:i w:val="0"/>
          <w:color w:val="auto"/>
        </w:rPr>
        <w:fldChar w:fldCharType="separate"/>
      </w:r>
      <w:r>
        <w:rPr>
          <w:rFonts w:ascii="黑体" w:hAnsi="黑体" w:eastAsia="黑体"/>
          <w:b w:val="0"/>
          <w:i w:val="0"/>
          <w:color w:val="auto"/>
        </w:rPr>
        <w:t>5</w:t>
      </w:r>
      <w:r>
        <w:rPr>
          <w:rFonts w:ascii="黑体" w:hAnsi="黑体" w:eastAsia="黑体"/>
          <w:b w:val="0"/>
          <w:i w:val="0"/>
          <w:color w:val="auto"/>
        </w:rPr>
        <w:fldChar w:fldCharType="end"/>
      </w:r>
      <w:r>
        <w:rPr>
          <w:rStyle w:val="40"/>
          <w:rFonts w:ascii="黑体" w:hAnsi="黑体" w:eastAsia="黑体"/>
          <w:b w:val="0"/>
          <w:i w:val="0"/>
          <w:color w:val="auto"/>
        </w:rPr>
        <w:fldChar w:fldCharType="end"/>
      </w:r>
    </w:p>
    <w:p>
      <w:pPr>
        <w:pStyle w:val="24"/>
        <w:tabs>
          <w:tab w:val="right" w:leader="dot" w:pos="8720"/>
        </w:tabs>
        <w:rPr>
          <w:rFonts w:ascii="黑体" w:hAnsi="黑体" w:eastAsia="黑体" w:cs="Times New Roman"/>
          <w:b w:val="0"/>
          <w:bCs w:val="0"/>
          <w:i w:val="0"/>
          <w:iCs w:val="0"/>
          <w:color w:val="auto"/>
        </w:rPr>
      </w:pPr>
      <w:r>
        <w:rPr>
          <w:rStyle w:val="40"/>
          <w:rFonts w:ascii="黑体" w:hAnsi="黑体" w:eastAsia="黑体"/>
          <w:b w:val="0"/>
          <w:i w:val="0"/>
          <w:color w:val="auto"/>
        </w:rPr>
        <w:fldChar w:fldCharType="begin"/>
      </w:r>
      <w:r>
        <w:rPr>
          <w:rStyle w:val="40"/>
          <w:rFonts w:ascii="黑体" w:hAnsi="黑体" w:eastAsia="黑体"/>
          <w:b w:val="0"/>
          <w:i w:val="0"/>
          <w:color w:val="auto"/>
        </w:rPr>
        <w:instrText xml:space="preserve"> </w:instrText>
      </w:r>
      <w:r>
        <w:rPr>
          <w:rFonts w:ascii="黑体" w:hAnsi="黑体" w:eastAsia="黑体"/>
          <w:b w:val="0"/>
          <w:i w:val="0"/>
          <w:color w:val="auto"/>
        </w:rPr>
        <w:instrText xml:space="preserve">HYPERLINK \l "_Toc1569706"</w:instrText>
      </w:r>
      <w:r>
        <w:rPr>
          <w:rStyle w:val="40"/>
          <w:rFonts w:ascii="黑体" w:hAnsi="黑体" w:eastAsia="黑体"/>
          <w:b w:val="0"/>
          <w:i w:val="0"/>
          <w:color w:val="auto"/>
        </w:rPr>
        <w:instrText xml:space="preserve"> </w:instrText>
      </w:r>
      <w:r>
        <w:rPr>
          <w:rStyle w:val="40"/>
          <w:rFonts w:ascii="黑体" w:hAnsi="黑体" w:eastAsia="黑体"/>
          <w:b w:val="0"/>
          <w:i w:val="0"/>
          <w:color w:val="auto"/>
        </w:rPr>
        <w:fldChar w:fldCharType="separate"/>
      </w:r>
      <w:r>
        <w:rPr>
          <w:rStyle w:val="40"/>
          <w:rFonts w:hint="eastAsia" w:ascii="黑体" w:hAnsi="黑体" w:eastAsia="黑体"/>
          <w:b w:val="0"/>
          <w:i w:val="0"/>
          <w:color w:val="auto"/>
        </w:rPr>
        <w:t>二、指导思想、基本原则和主要目标</w:t>
      </w:r>
      <w:r>
        <w:rPr>
          <w:rFonts w:ascii="黑体" w:hAnsi="黑体" w:eastAsia="黑体"/>
          <w:b w:val="0"/>
          <w:i w:val="0"/>
          <w:color w:val="auto"/>
        </w:rPr>
        <w:tab/>
      </w:r>
      <w:r>
        <w:rPr>
          <w:rFonts w:ascii="黑体" w:hAnsi="黑体" w:eastAsia="黑体"/>
          <w:b w:val="0"/>
          <w:i w:val="0"/>
          <w:color w:val="auto"/>
        </w:rPr>
        <w:fldChar w:fldCharType="begin"/>
      </w:r>
      <w:r>
        <w:rPr>
          <w:rFonts w:ascii="黑体" w:hAnsi="黑体" w:eastAsia="黑体"/>
          <w:b w:val="0"/>
          <w:i w:val="0"/>
          <w:color w:val="auto"/>
        </w:rPr>
        <w:instrText xml:space="preserve"> PAGEREF _Toc1569706 \h </w:instrText>
      </w:r>
      <w:r>
        <w:rPr>
          <w:rFonts w:ascii="黑体" w:hAnsi="黑体" w:eastAsia="黑体"/>
          <w:b w:val="0"/>
          <w:i w:val="0"/>
          <w:color w:val="auto"/>
        </w:rPr>
        <w:fldChar w:fldCharType="separate"/>
      </w:r>
      <w:r>
        <w:rPr>
          <w:rFonts w:ascii="黑体" w:hAnsi="黑体" w:eastAsia="黑体"/>
          <w:b w:val="0"/>
          <w:i w:val="0"/>
          <w:color w:val="auto"/>
        </w:rPr>
        <w:t>6</w:t>
      </w:r>
      <w:r>
        <w:rPr>
          <w:rFonts w:ascii="黑体" w:hAnsi="黑体" w:eastAsia="黑体"/>
          <w:b w:val="0"/>
          <w:i w:val="0"/>
          <w:color w:val="auto"/>
        </w:rPr>
        <w:fldChar w:fldCharType="end"/>
      </w:r>
      <w:r>
        <w:rPr>
          <w:rStyle w:val="40"/>
          <w:rFonts w:ascii="黑体" w:hAnsi="黑体" w:eastAsia="黑体"/>
          <w:b w:val="0"/>
          <w:i w:val="0"/>
          <w:color w:val="auto"/>
        </w:rPr>
        <w:fldChar w:fldCharType="end"/>
      </w:r>
    </w:p>
    <w:p>
      <w:pPr>
        <w:pStyle w:val="30"/>
        <w:tabs>
          <w:tab w:val="right" w:leader="dot" w:pos="8720"/>
        </w:tabs>
        <w:rPr>
          <w:rFonts w:ascii="黑体" w:hAnsi="黑体" w:eastAsia="黑体" w:cs="Times New Roman"/>
          <w:b w:val="0"/>
          <w:bCs w:val="0"/>
          <w:color w:val="auto"/>
          <w:sz w:val="24"/>
          <w:szCs w:val="24"/>
        </w:rPr>
      </w:pPr>
      <w:r>
        <w:rPr>
          <w:rStyle w:val="40"/>
          <w:rFonts w:ascii="黑体" w:hAnsi="黑体" w:eastAsia="黑体"/>
          <w:b w:val="0"/>
          <w:color w:val="auto"/>
          <w:sz w:val="24"/>
          <w:szCs w:val="24"/>
        </w:rPr>
        <w:fldChar w:fldCharType="begin"/>
      </w:r>
      <w:r>
        <w:rPr>
          <w:rStyle w:val="40"/>
          <w:rFonts w:ascii="黑体" w:hAnsi="黑体" w:eastAsia="黑体"/>
          <w:b w:val="0"/>
          <w:color w:val="auto"/>
          <w:sz w:val="24"/>
          <w:szCs w:val="24"/>
        </w:rPr>
        <w:instrText xml:space="preserve"> </w:instrText>
      </w:r>
      <w:r>
        <w:rPr>
          <w:rFonts w:ascii="黑体" w:hAnsi="黑体" w:eastAsia="黑体"/>
          <w:b w:val="0"/>
          <w:color w:val="auto"/>
          <w:sz w:val="24"/>
          <w:szCs w:val="24"/>
        </w:rPr>
        <w:instrText xml:space="preserve">HYPERLINK \l "_Toc1569707"</w:instrText>
      </w:r>
      <w:r>
        <w:rPr>
          <w:rStyle w:val="40"/>
          <w:rFonts w:ascii="黑体" w:hAnsi="黑体" w:eastAsia="黑体"/>
          <w:b w:val="0"/>
          <w:color w:val="auto"/>
          <w:sz w:val="24"/>
          <w:szCs w:val="24"/>
        </w:rPr>
        <w:instrText xml:space="preserve"> </w:instrText>
      </w:r>
      <w:r>
        <w:rPr>
          <w:rStyle w:val="40"/>
          <w:rFonts w:ascii="黑体" w:hAnsi="黑体" w:eastAsia="黑体"/>
          <w:b w:val="0"/>
          <w:color w:val="auto"/>
          <w:sz w:val="24"/>
          <w:szCs w:val="24"/>
        </w:rPr>
        <w:fldChar w:fldCharType="separate"/>
      </w:r>
      <w:r>
        <w:rPr>
          <w:rStyle w:val="40"/>
          <w:rFonts w:hint="eastAsia" w:ascii="黑体" w:hAnsi="黑体" w:eastAsia="黑体"/>
          <w:b w:val="0"/>
          <w:color w:val="auto"/>
          <w:sz w:val="24"/>
          <w:szCs w:val="24"/>
        </w:rPr>
        <w:t>（一）指导思想</w:t>
      </w:r>
      <w:r>
        <w:rPr>
          <w:rFonts w:ascii="黑体" w:hAnsi="黑体" w:eastAsia="黑体"/>
          <w:b w:val="0"/>
          <w:color w:val="auto"/>
          <w:sz w:val="24"/>
          <w:szCs w:val="24"/>
        </w:rPr>
        <w:tab/>
      </w:r>
      <w:r>
        <w:rPr>
          <w:rFonts w:ascii="黑体" w:hAnsi="黑体" w:eastAsia="黑体"/>
          <w:b w:val="0"/>
          <w:color w:val="auto"/>
          <w:sz w:val="24"/>
          <w:szCs w:val="24"/>
        </w:rPr>
        <w:fldChar w:fldCharType="begin"/>
      </w:r>
      <w:r>
        <w:rPr>
          <w:rFonts w:ascii="黑体" w:hAnsi="黑体" w:eastAsia="黑体"/>
          <w:b w:val="0"/>
          <w:color w:val="auto"/>
          <w:sz w:val="24"/>
          <w:szCs w:val="24"/>
        </w:rPr>
        <w:instrText xml:space="preserve"> PAGEREF _Toc1569707 \h </w:instrText>
      </w:r>
      <w:r>
        <w:rPr>
          <w:rFonts w:ascii="黑体" w:hAnsi="黑体" w:eastAsia="黑体"/>
          <w:b w:val="0"/>
          <w:color w:val="auto"/>
          <w:sz w:val="24"/>
          <w:szCs w:val="24"/>
        </w:rPr>
        <w:fldChar w:fldCharType="separate"/>
      </w:r>
      <w:r>
        <w:rPr>
          <w:rFonts w:ascii="黑体" w:hAnsi="黑体" w:eastAsia="黑体"/>
          <w:b w:val="0"/>
          <w:color w:val="auto"/>
          <w:sz w:val="24"/>
          <w:szCs w:val="24"/>
        </w:rPr>
        <w:t>6</w:t>
      </w:r>
      <w:r>
        <w:rPr>
          <w:rFonts w:ascii="黑体" w:hAnsi="黑体" w:eastAsia="黑体"/>
          <w:b w:val="0"/>
          <w:color w:val="auto"/>
          <w:sz w:val="24"/>
          <w:szCs w:val="24"/>
        </w:rPr>
        <w:fldChar w:fldCharType="end"/>
      </w:r>
      <w:r>
        <w:rPr>
          <w:rStyle w:val="40"/>
          <w:rFonts w:ascii="黑体" w:hAnsi="黑体" w:eastAsia="黑体"/>
          <w:b w:val="0"/>
          <w:color w:val="auto"/>
          <w:sz w:val="24"/>
          <w:szCs w:val="24"/>
        </w:rPr>
        <w:fldChar w:fldCharType="end"/>
      </w:r>
    </w:p>
    <w:p>
      <w:pPr>
        <w:pStyle w:val="30"/>
        <w:tabs>
          <w:tab w:val="right" w:leader="dot" w:pos="8720"/>
        </w:tabs>
        <w:rPr>
          <w:rFonts w:ascii="黑体" w:hAnsi="黑体" w:eastAsia="黑体" w:cs="Times New Roman"/>
          <w:b w:val="0"/>
          <w:bCs w:val="0"/>
          <w:color w:val="auto"/>
          <w:sz w:val="24"/>
          <w:szCs w:val="24"/>
        </w:rPr>
      </w:pPr>
      <w:r>
        <w:rPr>
          <w:rStyle w:val="40"/>
          <w:rFonts w:ascii="黑体" w:hAnsi="黑体" w:eastAsia="黑体"/>
          <w:b w:val="0"/>
          <w:color w:val="auto"/>
          <w:sz w:val="24"/>
          <w:szCs w:val="24"/>
        </w:rPr>
        <w:fldChar w:fldCharType="begin"/>
      </w:r>
      <w:r>
        <w:rPr>
          <w:rStyle w:val="40"/>
          <w:rFonts w:ascii="黑体" w:hAnsi="黑体" w:eastAsia="黑体"/>
          <w:b w:val="0"/>
          <w:color w:val="auto"/>
          <w:sz w:val="24"/>
          <w:szCs w:val="24"/>
        </w:rPr>
        <w:instrText xml:space="preserve"> </w:instrText>
      </w:r>
      <w:r>
        <w:rPr>
          <w:rFonts w:ascii="黑体" w:hAnsi="黑体" w:eastAsia="黑体"/>
          <w:b w:val="0"/>
          <w:color w:val="auto"/>
          <w:sz w:val="24"/>
          <w:szCs w:val="24"/>
        </w:rPr>
        <w:instrText xml:space="preserve">HYPERLINK \l "_Toc1569708"</w:instrText>
      </w:r>
      <w:r>
        <w:rPr>
          <w:rStyle w:val="40"/>
          <w:rFonts w:ascii="黑体" w:hAnsi="黑体" w:eastAsia="黑体"/>
          <w:b w:val="0"/>
          <w:color w:val="auto"/>
          <w:sz w:val="24"/>
          <w:szCs w:val="24"/>
        </w:rPr>
        <w:instrText xml:space="preserve"> </w:instrText>
      </w:r>
      <w:r>
        <w:rPr>
          <w:rStyle w:val="40"/>
          <w:rFonts w:ascii="黑体" w:hAnsi="黑体" w:eastAsia="黑体"/>
          <w:b w:val="0"/>
          <w:color w:val="auto"/>
          <w:sz w:val="24"/>
          <w:szCs w:val="24"/>
        </w:rPr>
        <w:fldChar w:fldCharType="separate"/>
      </w:r>
      <w:r>
        <w:rPr>
          <w:rStyle w:val="40"/>
          <w:rFonts w:hint="eastAsia" w:ascii="黑体" w:hAnsi="黑体" w:eastAsia="黑体"/>
          <w:b w:val="0"/>
          <w:color w:val="auto"/>
          <w:sz w:val="24"/>
          <w:szCs w:val="24"/>
        </w:rPr>
        <w:t>（二）基本原则</w:t>
      </w:r>
      <w:r>
        <w:rPr>
          <w:rFonts w:ascii="黑体" w:hAnsi="黑体" w:eastAsia="黑体"/>
          <w:b w:val="0"/>
          <w:color w:val="auto"/>
          <w:sz w:val="24"/>
          <w:szCs w:val="24"/>
        </w:rPr>
        <w:tab/>
      </w:r>
      <w:r>
        <w:rPr>
          <w:rFonts w:ascii="黑体" w:hAnsi="黑体" w:eastAsia="黑体"/>
          <w:b w:val="0"/>
          <w:color w:val="auto"/>
          <w:sz w:val="24"/>
          <w:szCs w:val="24"/>
        </w:rPr>
        <w:fldChar w:fldCharType="begin"/>
      </w:r>
      <w:r>
        <w:rPr>
          <w:rFonts w:ascii="黑体" w:hAnsi="黑体" w:eastAsia="黑体"/>
          <w:b w:val="0"/>
          <w:color w:val="auto"/>
          <w:sz w:val="24"/>
          <w:szCs w:val="24"/>
        </w:rPr>
        <w:instrText xml:space="preserve"> PAGEREF _Toc1569708 \h </w:instrText>
      </w:r>
      <w:r>
        <w:rPr>
          <w:rFonts w:ascii="黑体" w:hAnsi="黑体" w:eastAsia="黑体"/>
          <w:b w:val="0"/>
          <w:color w:val="auto"/>
          <w:sz w:val="24"/>
          <w:szCs w:val="24"/>
        </w:rPr>
        <w:fldChar w:fldCharType="separate"/>
      </w:r>
      <w:r>
        <w:rPr>
          <w:rFonts w:ascii="黑体" w:hAnsi="黑体" w:eastAsia="黑体"/>
          <w:b w:val="0"/>
          <w:color w:val="auto"/>
          <w:sz w:val="24"/>
          <w:szCs w:val="24"/>
        </w:rPr>
        <w:t>6</w:t>
      </w:r>
      <w:r>
        <w:rPr>
          <w:rFonts w:ascii="黑体" w:hAnsi="黑体" w:eastAsia="黑体"/>
          <w:b w:val="0"/>
          <w:color w:val="auto"/>
          <w:sz w:val="24"/>
          <w:szCs w:val="24"/>
        </w:rPr>
        <w:fldChar w:fldCharType="end"/>
      </w:r>
      <w:r>
        <w:rPr>
          <w:rStyle w:val="40"/>
          <w:rFonts w:ascii="黑体" w:hAnsi="黑体" w:eastAsia="黑体"/>
          <w:b w:val="0"/>
          <w:color w:val="auto"/>
          <w:sz w:val="24"/>
          <w:szCs w:val="24"/>
        </w:rPr>
        <w:fldChar w:fldCharType="end"/>
      </w:r>
    </w:p>
    <w:p>
      <w:pPr>
        <w:pStyle w:val="30"/>
        <w:tabs>
          <w:tab w:val="right" w:leader="dot" w:pos="8720"/>
        </w:tabs>
        <w:rPr>
          <w:rFonts w:ascii="黑体" w:hAnsi="黑体" w:eastAsia="黑体" w:cs="Times New Roman"/>
          <w:b w:val="0"/>
          <w:bCs w:val="0"/>
          <w:color w:val="auto"/>
          <w:sz w:val="24"/>
          <w:szCs w:val="24"/>
        </w:rPr>
      </w:pPr>
      <w:r>
        <w:rPr>
          <w:rStyle w:val="40"/>
          <w:rFonts w:ascii="黑体" w:hAnsi="黑体" w:eastAsia="黑体"/>
          <w:b w:val="0"/>
          <w:color w:val="auto"/>
          <w:sz w:val="24"/>
          <w:szCs w:val="24"/>
        </w:rPr>
        <w:fldChar w:fldCharType="begin"/>
      </w:r>
      <w:r>
        <w:rPr>
          <w:rStyle w:val="40"/>
          <w:rFonts w:ascii="黑体" w:hAnsi="黑体" w:eastAsia="黑体"/>
          <w:b w:val="0"/>
          <w:color w:val="auto"/>
          <w:sz w:val="24"/>
          <w:szCs w:val="24"/>
        </w:rPr>
        <w:instrText xml:space="preserve"> </w:instrText>
      </w:r>
      <w:r>
        <w:rPr>
          <w:rFonts w:ascii="黑体" w:hAnsi="黑体" w:eastAsia="黑体"/>
          <w:b w:val="0"/>
          <w:color w:val="auto"/>
          <w:sz w:val="24"/>
          <w:szCs w:val="24"/>
        </w:rPr>
        <w:instrText xml:space="preserve">HYPERLINK \l "_Toc1569709"</w:instrText>
      </w:r>
      <w:r>
        <w:rPr>
          <w:rStyle w:val="40"/>
          <w:rFonts w:ascii="黑体" w:hAnsi="黑体" w:eastAsia="黑体"/>
          <w:b w:val="0"/>
          <w:color w:val="auto"/>
          <w:sz w:val="24"/>
          <w:szCs w:val="24"/>
        </w:rPr>
        <w:instrText xml:space="preserve"> </w:instrText>
      </w:r>
      <w:r>
        <w:rPr>
          <w:rStyle w:val="40"/>
          <w:rFonts w:ascii="黑体" w:hAnsi="黑体" w:eastAsia="黑体"/>
          <w:b w:val="0"/>
          <w:color w:val="auto"/>
          <w:sz w:val="24"/>
          <w:szCs w:val="24"/>
        </w:rPr>
        <w:fldChar w:fldCharType="separate"/>
      </w:r>
      <w:r>
        <w:rPr>
          <w:rStyle w:val="40"/>
          <w:rFonts w:hint="eastAsia" w:ascii="黑体" w:hAnsi="黑体" w:eastAsia="黑体"/>
          <w:b w:val="0"/>
          <w:color w:val="auto"/>
          <w:sz w:val="24"/>
          <w:szCs w:val="24"/>
        </w:rPr>
        <w:t>（三）建设目标</w:t>
      </w:r>
      <w:r>
        <w:rPr>
          <w:rFonts w:ascii="黑体" w:hAnsi="黑体" w:eastAsia="黑体"/>
          <w:b w:val="0"/>
          <w:color w:val="auto"/>
          <w:sz w:val="24"/>
          <w:szCs w:val="24"/>
        </w:rPr>
        <w:tab/>
      </w:r>
      <w:r>
        <w:rPr>
          <w:rFonts w:ascii="黑体" w:hAnsi="黑体" w:eastAsia="黑体"/>
          <w:b w:val="0"/>
          <w:color w:val="auto"/>
          <w:sz w:val="24"/>
          <w:szCs w:val="24"/>
        </w:rPr>
        <w:fldChar w:fldCharType="begin"/>
      </w:r>
      <w:r>
        <w:rPr>
          <w:rFonts w:ascii="黑体" w:hAnsi="黑体" w:eastAsia="黑体"/>
          <w:b w:val="0"/>
          <w:color w:val="auto"/>
          <w:sz w:val="24"/>
          <w:szCs w:val="24"/>
        </w:rPr>
        <w:instrText xml:space="preserve"> PAGEREF _Toc1569709 \h </w:instrText>
      </w:r>
      <w:r>
        <w:rPr>
          <w:rFonts w:ascii="黑体" w:hAnsi="黑体" w:eastAsia="黑体"/>
          <w:b w:val="0"/>
          <w:color w:val="auto"/>
          <w:sz w:val="24"/>
          <w:szCs w:val="24"/>
        </w:rPr>
        <w:fldChar w:fldCharType="separate"/>
      </w:r>
      <w:r>
        <w:rPr>
          <w:rFonts w:ascii="黑体" w:hAnsi="黑体" w:eastAsia="黑体"/>
          <w:b w:val="0"/>
          <w:color w:val="auto"/>
          <w:sz w:val="24"/>
          <w:szCs w:val="24"/>
        </w:rPr>
        <w:t>7</w:t>
      </w:r>
      <w:r>
        <w:rPr>
          <w:rFonts w:ascii="黑体" w:hAnsi="黑体" w:eastAsia="黑体"/>
          <w:b w:val="0"/>
          <w:color w:val="auto"/>
          <w:sz w:val="24"/>
          <w:szCs w:val="24"/>
        </w:rPr>
        <w:fldChar w:fldCharType="end"/>
      </w:r>
      <w:r>
        <w:rPr>
          <w:rStyle w:val="40"/>
          <w:rFonts w:ascii="黑体" w:hAnsi="黑体" w:eastAsia="黑体"/>
          <w:b w:val="0"/>
          <w:color w:val="auto"/>
          <w:sz w:val="24"/>
          <w:szCs w:val="24"/>
        </w:rPr>
        <w:fldChar w:fldCharType="end"/>
      </w:r>
    </w:p>
    <w:p>
      <w:pPr>
        <w:pStyle w:val="24"/>
        <w:tabs>
          <w:tab w:val="right" w:leader="dot" w:pos="8720"/>
        </w:tabs>
        <w:rPr>
          <w:rFonts w:ascii="黑体" w:hAnsi="黑体" w:eastAsia="黑体" w:cs="Times New Roman"/>
          <w:b w:val="0"/>
          <w:bCs w:val="0"/>
          <w:i w:val="0"/>
          <w:iCs w:val="0"/>
          <w:color w:val="auto"/>
        </w:rPr>
      </w:pPr>
      <w:r>
        <w:rPr>
          <w:rStyle w:val="40"/>
          <w:rFonts w:ascii="黑体" w:hAnsi="黑体" w:eastAsia="黑体"/>
          <w:b w:val="0"/>
          <w:i w:val="0"/>
          <w:color w:val="auto"/>
        </w:rPr>
        <w:fldChar w:fldCharType="begin"/>
      </w:r>
      <w:r>
        <w:rPr>
          <w:rStyle w:val="40"/>
          <w:rFonts w:ascii="黑体" w:hAnsi="黑体" w:eastAsia="黑体"/>
          <w:b w:val="0"/>
          <w:i w:val="0"/>
          <w:color w:val="auto"/>
        </w:rPr>
        <w:instrText xml:space="preserve"> </w:instrText>
      </w:r>
      <w:r>
        <w:rPr>
          <w:rFonts w:ascii="黑体" w:hAnsi="黑体" w:eastAsia="黑体"/>
          <w:b w:val="0"/>
          <w:i w:val="0"/>
          <w:color w:val="auto"/>
        </w:rPr>
        <w:instrText xml:space="preserve">HYPERLINK \l "_Toc1569710"</w:instrText>
      </w:r>
      <w:r>
        <w:rPr>
          <w:rStyle w:val="40"/>
          <w:rFonts w:ascii="黑体" w:hAnsi="黑体" w:eastAsia="黑体"/>
          <w:b w:val="0"/>
          <w:i w:val="0"/>
          <w:color w:val="auto"/>
        </w:rPr>
        <w:instrText xml:space="preserve"> </w:instrText>
      </w:r>
      <w:r>
        <w:rPr>
          <w:rStyle w:val="40"/>
          <w:rFonts w:ascii="黑体" w:hAnsi="黑体" w:eastAsia="黑体"/>
          <w:b w:val="0"/>
          <w:i w:val="0"/>
          <w:color w:val="auto"/>
        </w:rPr>
        <w:fldChar w:fldCharType="separate"/>
      </w:r>
      <w:r>
        <w:rPr>
          <w:rStyle w:val="40"/>
          <w:rFonts w:hint="eastAsia" w:ascii="黑体" w:hAnsi="黑体" w:eastAsia="黑体"/>
          <w:b w:val="0"/>
          <w:i w:val="0"/>
          <w:color w:val="auto"/>
        </w:rPr>
        <w:t>三、主要任务</w:t>
      </w:r>
      <w:r>
        <w:rPr>
          <w:rFonts w:ascii="黑体" w:hAnsi="黑体" w:eastAsia="黑体"/>
          <w:b w:val="0"/>
          <w:i w:val="0"/>
          <w:color w:val="auto"/>
        </w:rPr>
        <w:tab/>
      </w:r>
      <w:r>
        <w:rPr>
          <w:rFonts w:ascii="黑体" w:hAnsi="黑体" w:eastAsia="黑体"/>
          <w:b w:val="0"/>
          <w:i w:val="0"/>
          <w:color w:val="auto"/>
        </w:rPr>
        <w:fldChar w:fldCharType="begin"/>
      </w:r>
      <w:r>
        <w:rPr>
          <w:rFonts w:ascii="黑体" w:hAnsi="黑体" w:eastAsia="黑体"/>
          <w:b w:val="0"/>
          <w:i w:val="0"/>
          <w:color w:val="auto"/>
        </w:rPr>
        <w:instrText xml:space="preserve"> PAGEREF _Toc1569710 \h </w:instrText>
      </w:r>
      <w:r>
        <w:rPr>
          <w:rFonts w:ascii="黑体" w:hAnsi="黑体" w:eastAsia="黑体"/>
          <w:b w:val="0"/>
          <w:i w:val="0"/>
          <w:color w:val="auto"/>
        </w:rPr>
        <w:fldChar w:fldCharType="separate"/>
      </w:r>
      <w:r>
        <w:rPr>
          <w:rFonts w:ascii="黑体" w:hAnsi="黑体" w:eastAsia="黑体"/>
          <w:b w:val="0"/>
          <w:i w:val="0"/>
          <w:color w:val="auto"/>
        </w:rPr>
        <w:t>8</w:t>
      </w:r>
      <w:r>
        <w:rPr>
          <w:rFonts w:ascii="黑体" w:hAnsi="黑体" w:eastAsia="黑体"/>
          <w:b w:val="0"/>
          <w:i w:val="0"/>
          <w:color w:val="auto"/>
        </w:rPr>
        <w:fldChar w:fldCharType="end"/>
      </w:r>
      <w:r>
        <w:rPr>
          <w:rStyle w:val="40"/>
          <w:rFonts w:ascii="黑体" w:hAnsi="黑体" w:eastAsia="黑体"/>
          <w:b w:val="0"/>
          <w:i w:val="0"/>
          <w:color w:val="auto"/>
        </w:rPr>
        <w:fldChar w:fldCharType="end"/>
      </w:r>
    </w:p>
    <w:p>
      <w:pPr>
        <w:pStyle w:val="30"/>
        <w:tabs>
          <w:tab w:val="right" w:leader="dot" w:pos="8720"/>
        </w:tabs>
        <w:rPr>
          <w:rFonts w:ascii="黑体" w:hAnsi="黑体" w:eastAsia="黑体" w:cs="Times New Roman"/>
          <w:b w:val="0"/>
          <w:bCs w:val="0"/>
          <w:color w:val="auto"/>
          <w:sz w:val="24"/>
          <w:szCs w:val="24"/>
        </w:rPr>
      </w:pPr>
      <w:r>
        <w:rPr>
          <w:rStyle w:val="40"/>
          <w:rFonts w:ascii="黑体" w:hAnsi="黑体" w:eastAsia="黑体"/>
          <w:b w:val="0"/>
          <w:color w:val="auto"/>
          <w:sz w:val="24"/>
          <w:szCs w:val="24"/>
        </w:rPr>
        <w:fldChar w:fldCharType="begin"/>
      </w:r>
      <w:r>
        <w:rPr>
          <w:rStyle w:val="40"/>
          <w:rFonts w:ascii="黑体" w:hAnsi="黑体" w:eastAsia="黑体"/>
          <w:b w:val="0"/>
          <w:color w:val="auto"/>
          <w:sz w:val="24"/>
          <w:szCs w:val="24"/>
        </w:rPr>
        <w:instrText xml:space="preserve"> </w:instrText>
      </w:r>
      <w:r>
        <w:rPr>
          <w:rFonts w:ascii="黑体" w:hAnsi="黑体" w:eastAsia="黑体"/>
          <w:b w:val="0"/>
          <w:color w:val="auto"/>
          <w:sz w:val="24"/>
          <w:szCs w:val="24"/>
        </w:rPr>
        <w:instrText xml:space="preserve">HYPERLINK \l "_Toc1569711"</w:instrText>
      </w:r>
      <w:r>
        <w:rPr>
          <w:rStyle w:val="40"/>
          <w:rFonts w:ascii="黑体" w:hAnsi="黑体" w:eastAsia="黑体"/>
          <w:b w:val="0"/>
          <w:color w:val="auto"/>
          <w:sz w:val="24"/>
          <w:szCs w:val="24"/>
        </w:rPr>
        <w:instrText xml:space="preserve"> </w:instrText>
      </w:r>
      <w:r>
        <w:rPr>
          <w:rStyle w:val="40"/>
          <w:rFonts w:ascii="黑体" w:hAnsi="黑体" w:eastAsia="黑体"/>
          <w:b w:val="0"/>
          <w:color w:val="auto"/>
          <w:sz w:val="24"/>
          <w:szCs w:val="24"/>
        </w:rPr>
        <w:fldChar w:fldCharType="separate"/>
      </w:r>
      <w:r>
        <w:rPr>
          <w:rStyle w:val="40"/>
          <w:rFonts w:hint="eastAsia" w:ascii="黑体" w:hAnsi="黑体" w:eastAsia="黑体"/>
          <w:b w:val="0"/>
          <w:color w:val="auto"/>
          <w:sz w:val="24"/>
          <w:szCs w:val="24"/>
        </w:rPr>
        <w:t>（一）加快处理设施建设，提高生活垃圾资源化利用水平</w:t>
      </w:r>
      <w:r>
        <w:rPr>
          <w:rFonts w:ascii="黑体" w:hAnsi="黑体" w:eastAsia="黑体"/>
          <w:b w:val="0"/>
          <w:color w:val="auto"/>
          <w:sz w:val="24"/>
          <w:szCs w:val="24"/>
        </w:rPr>
        <w:tab/>
      </w:r>
      <w:r>
        <w:rPr>
          <w:rFonts w:ascii="黑体" w:hAnsi="黑体" w:eastAsia="黑体"/>
          <w:b w:val="0"/>
          <w:color w:val="auto"/>
          <w:sz w:val="24"/>
          <w:szCs w:val="24"/>
        </w:rPr>
        <w:fldChar w:fldCharType="begin"/>
      </w:r>
      <w:r>
        <w:rPr>
          <w:rFonts w:ascii="黑体" w:hAnsi="黑体" w:eastAsia="黑体"/>
          <w:b w:val="0"/>
          <w:color w:val="auto"/>
          <w:sz w:val="24"/>
          <w:szCs w:val="24"/>
        </w:rPr>
        <w:instrText xml:space="preserve"> PAGEREF _Toc1569711 \h </w:instrText>
      </w:r>
      <w:r>
        <w:rPr>
          <w:rFonts w:ascii="黑体" w:hAnsi="黑体" w:eastAsia="黑体"/>
          <w:b w:val="0"/>
          <w:color w:val="auto"/>
          <w:sz w:val="24"/>
          <w:szCs w:val="24"/>
        </w:rPr>
        <w:fldChar w:fldCharType="separate"/>
      </w:r>
      <w:r>
        <w:rPr>
          <w:rFonts w:ascii="黑体" w:hAnsi="黑体" w:eastAsia="黑体"/>
          <w:b w:val="0"/>
          <w:color w:val="auto"/>
          <w:sz w:val="24"/>
          <w:szCs w:val="24"/>
        </w:rPr>
        <w:t>8</w:t>
      </w:r>
      <w:r>
        <w:rPr>
          <w:rFonts w:ascii="黑体" w:hAnsi="黑体" w:eastAsia="黑体"/>
          <w:b w:val="0"/>
          <w:color w:val="auto"/>
          <w:sz w:val="24"/>
          <w:szCs w:val="24"/>
        </w:rPr>
        <w:fldChar w:fldCharType="end"/>
      </w:r>
      <w:r>
        <w:rPr>
          <w:rStyle w:val="40"/>
          <w:rFonts w:ascii="黑体" w:hAnsi="黑体" w:eastAsia="黑体"/>
          <w:b w:val="0"/>
          <w:color w:val="auto"/>
          <w:sz w:val="24"/>
          <w:szCs w:val="24"/>
        </w:rPr>
        <w:fldChar w:fldCharType="end"/>
      </w:r>
    </w:p>
    <w:p>
      <w:pPr>
        <w:pStyle w:val="30"/>
        <w:tabs>
          <w:tab w:val="right" w:leader="dot" w:pos="8720"/>
        </w:tabs>
        <w:rPr>
          <w:rFonts w:ascii="黑体" w:hAnsi="黑体" w:eastAsia="黑体" w:cs="Times New Roman"/>
          <w:b w:val="0"/>
          <w:bCs w:val="0"/>
          <w:color w:val="auto"/>
          <w:sz w:val="24"/>
          <w:szCs w:val="24"/>
        </w:rPr>
      </w:pPr>
      <w:r>
        <w:rPr>
          <w:rStyle w:val="40"/>
          <w:rFonts w:ascii="黑体" w:hAnsi="黑体" w:eastAsia="黑体"/>
          <w:b w:val="0"/>
          <w:color w:val="auto"/>
          <w:sz w:val="24"/>
          <w:szCs w:val="24"/>
        </w:rPr>
        <w:fldChar w:fldCharType="begin"/>
      </w:r>
      <w:r>
        <w:rPr>
          <w:rStyle w:val="40"/>
          <w:rFonts w:ascii="黑体" w:hAnsi="黑体" w:eastAsia="黑体"/>
          <w:b w:val="0"/>
          <w:color w:val="auto"/>
          <w:sz w:val="24"/>
          <w:szCs w:val="24"/>
        </w:rPr>
        <w:instrText xml:space="preserve"> </w:instrText>
      </w:r>
      <w:r>
        <w:rPr>
          <w:rFonts w:ascii="黑体" w:hAnsi="黑体" w:eastAsia="黑体"/>
          <w:b w:val="0"/>
          <w:color w:val="auto"/>
          <w:sz w:val="24"/>
          <w:szCs w:val="24"/>
        </w:rPr>
        <w:instrText xml:space="preserve">HYPERLINK \l "_Toc1569712"</w:instrText>
      </w:r>
      <w:r>
        <w:rPr>
          <w:rStyle w:val="40"/>
          <w:rFonts w:ascii="黑体" w:hAnsi="黑体" w:eastAsia="黑体"/>
          <w:b w:val="0"/>
          <w:color w:val="auto"/>
          <w:sz w:val="24"/>
          <w:szCs w:val="24"/>
        </w:rPr>
        <w:instrText xml:space="preserve"> </w:instrText>
      </w:r>
      <w:r>
        <w:rPr>
          <w:rStyle w:val="40"/>
          <w:rFonts w:ascii="黑体" w:hAnsi="黑体" w:eastAsia="黑体"/>
          <w:b w:val="0"/>
          <w:color w:val="auto"/>
          <w:sz w:val="24"/>
          <w:szCs w:val="24"/>
        </w:rPr>
        <w:fldChar w:fldCharType="separate"/>
      </w:r>
      <w:r>
        <w:rPr>
          <w:rStyle w:val="40"/>
          <w:rFonts w:hint="eastAsia" w:ascii="黑体" w:hAnsi="黑体" w:eastAsia="黑体"/>
          <w:b w:val="0"/>
          <w:color w:val="auto"/>
          <w:sz w:val="24"/>
          <w:szCs w:val="24"/>
        </w:rPr>
        <w:t>（二）强化垃圾前端收集，创造垃圾资源化利用良好条件</w:t>
      </w:r>
      <w:r>
        <w:rPr>
          <w:rFonts w:ascii="黑体" w:hAnsi="黑体" w:eastAsia="黑体"/>
          <w:b w:val="0"/>
          <w:color w:val="auto"/>
          <w:sz w:val="24"/>
          <w:szCs w:val="24"/>
        </w:rPr>
        <w:tab/>
      </w:r>
      <w:r>
        <w:rPr>
          <w:rFonts w:ascii="黑体" w:hAnsi="黑体" w:eastAsia="黑体"/>
          <w:b w:val="0"/>
          <w:color w:val="auto"/>
          <w:sz w:val="24"/>
          <w:szCs w:val="24"/>
        </w:rPr>
        <w:fldChar w:fldCharType="begin"/>
      </w:r>
      <w:r>
        <w:rPr>
          <w:rFonts w:ascii="黑体" w:hAnsi="黑体" w:eastAsia="黑体"/>
          <w:b w:val="0"/>
          <w:color w:val="auto"/>
          <w:sz w:val="24"/>
          <w:szCs w:val="24"/>
        </w:rPr>
        <w:instrText xml:space="preserve"> PAGEREF _Toc1569712 \h </w:instrText>
      </w:r>
      <w:r>
        <w:rPr>
          <w:rFonts w:ascii="黑体" w:hAnsi="黑体" w:eastAsia="黑体"/>
          <w:b w:val="0"/>
          <w:color w:val="auto"/>
          <w:sz w:val="24"/>
          <w:szCs w:val="24"/>
        </w:rPr>
        <w:fldChar w:fldCharType="separate"/>
      </w:r>
      <w:r>
        <w:rPr>
          <w:rFonts w:ascii="黑体" w:hAnsi="黑体" w:eastAsia="黑体"/>
          <w:b w:val="0"/>
          <w:color w:val="auto"/>
          <w:sz w:val="24"/>
          <w:szCs w:val="24"/>
        </w:rPr>
        <w:t>9</w:t>
      </w:r>
      <w:r>
        <w:rPr>
          <w:rFonts w:ascii="黑体" w:hAnsi="黑体" w:eastAsia="黑体"/>
          <w:b w:val="0"/>
          <w:color w:val="auto"/>
          <w:sz w:val="24"/>
          <w:szCs w:val="24"/>
        </w:rPr>
        <w:fldChar w:fldCharType="end"/>
      </w:r>
      <w:r>
        <w:rPr>
          <w:rStyle w:val="40"/>
          <w:rFonts w:ascii="黑体" w:hAnsi="黑体" w:eastAsia="黑体"/>
          <w:b w:val="0"/>
          <w:color w:val="auto"/>
          <w:sz w:val="24"/>
          <w:szCs w:val="24"/>
        </w:rPr>
        <w:fldChar w:fldCharType="end"/>
      </w:r>
    </w:p>
    <w:p>
      <w:pPr>
        <w:pStyle w:val="30"/>
        <w:tabs>
          <w:tab w:val="right" w:leader="dot" w:pos="8720"/>
        </w:tabs>
        <w:rPr>
          <w:rFonts w:ascii="黑体" w:hAnsi="黑体" w:eastAsia="黑体" w:cs="Times New Roman"/>
          <w:b w:val="0"/>
          <w:bCs w:val="0"/>
          <w:color w:val="auto"/>
          <w:sz w:val="24"/>
          <w:szCs w:val="24"/>
        </w:rPr>
      </w:pPr>
      <w:r>
        <w:rPr>
          <w:rStyle w:val="40"/>
          <w:rFonts w:ascii="黑体" w:hAnsi="黑体" w:eastAsia="黑体"/>
          <w:b w:val="0"/>
          <w:color w:val="auto"/>
          <w:sz w:val="24"/>
          <w:szCs w:val="24"/>
        </w:rPr>
        <w:fldChar w:fldCharType="begin"/>
      </w:r>
      <w:r>
        <w:rPr>
          <w:rStyle w:val="40"/>
          <w:rFonts w:ascii="黑体" w:hAnsi="黑体" w:eastAsia="黑体"/>
          <w:b w:val="0"/>
          <w:color w:val="auto"/>
          <w:sz w:val="24"/>
          <w:szCs w:val="24"/>
        </w:rPr>
        <w:instrText xml:space="preserve"> </w:instrText>
      </w:r>
      <w:r>
        <w:rPr>
          <w:rFonts w:ascii="黑体" w:hAnsi="黑体" w:eastAsia="黑体"/>
          <w:b w:val="0"/>
          <w:color w:val="auto"/>
          <w:sz w:val="24"/>
          <w:szCs w:val="24"/>
        </w:rPr>
        <w:instrText xml:space="preserve">HYPERLINK \l "_Toc1569713"</w:instrText>
      </w:r>
      <w:r>
        <w:rPr>
          <w:rStyle w:val="40"/>
          <w:rFonts w:ascii="黑体" w:hAnsi="黑体" w:eastAsia="黑体"/>
          <w:b w:val="0"/>
          <w:color w:val="auto"/>
          <w:sz w:val="24"/>
          <w:szCs w:val="24"/>
        </w:rPr>
        <w:instrText xml:space="preserve"> </w:instrText>
      </w:r>
      <w:r>
        <w:rPr>
          <w:rStyle w:val="40"/>
          <w:rFonts w:ascii="黑体" w:hAnsi="黑体" w:eastAsia="黑体"/>
          <w:b w:val="0"/>
          <w:color w:val="auto"/>
          <w:sz w:val="24"/>
          <w:szCs w:val="24"/>
        </w:rPr>
        <w:fldChar w:fldCharType="separate"/>
      </w:r>
      <w:r>
        <w:rPr>
          <w:rStyle w:val="40"/>
          <w:rFonts w:hint="eastAsia" w:ascii="黑体" w:hAnsi="黑体" w:eastAsia="黑体"/>
          <w:b w:val="0"/>
          <w:color w:val="auto"/>
          <w:sz w:val="24"/>
          <w:szCs w:val="24"/>
        </w:rPr>
        <w:t>（三）加强监管能力建设，确保焚烧发电设施的规范运行</w:t>
      </w:r>
      <w:r>
        <w:rPr>
          <w:rFonts w:ascii="黑体" w:hAnsi="黑体" w:eastAsia="黑体"/>
          <w:b w:val="0"/>
          <w:color w:val="auto"/>
          <w:sz w:val="24"/>
          <w:szCs w:val="24"/>
        </w:rPr>
        <w:tab/>
      </w:r>
      <w:r>
        <w:rPr>
          <w:rFonts w:ascii="黑体" w:hAnsi="黑体" w:eastAsia="黑体"/>
          <w:b w:val="0"/>
          <w:color w:val="auto"/>
          <w:sz w:val="24"/>
          <w:szCs w:val="24"/>
        </w:rPr>
        <w:fldChar w:fldCharType="begin"/>
      </w:r>
      <w:r>
        <w:rPr>
          <w:rFonts w:ascii="黑体" w:hAnsi="黑体" w:eastAsia="黑体"/>
          <w:b w:val="0"/>
          <w:color w:val="auto"/>
          <w:sz w:val="24"/>
          <w:szCs w:val="24"/>
        </w:rPr>
        <w:instrText xml:space="preserve"> PAGEREF _Toc1569713 \h </w:instrText>
      </w:r>
      <w:r>
        <w:rPr>
          <w:rFonts w:ascii="黑体" w:hAnsi="黑体" w:eastAsia="黑体"/>
          <w:b w:val="0"/>
          <w:color w:val="auto"/>
          <w:sz w:val="24"/>
          <w:szCs w:val="24"/>
        </w:rPr>
        <w:fldChar w:fldCharType="separate"/>
      </w:r>
      <w:r>
        <w:rPr>
          <w:rFonts w:ascii="黑体" w:hAnsi="黑体" w:eastAsia="黑体"/>
          <w:b w:val="0"/>
          <w:color w:val="auto"/>
          <w:sz w:val="24"/>
          <w:szCs w:val="24"/>
        </w:rPr>
        <w:t>10</w:t>
      </w:r>
      <w:r>
        <w:rPr>
          <w:rFonts w:ascii="黑体" w:hAnsi="黑体" w:eastAsia="黑体"/>
          <w:b w:val="0"/>
          <w:color w:val="auto"/>
          <w:sz w:val="24"/>
          <w:szCs w:val="24"/>
        </w:rPr>
        <w:fldChar w:fldCharType="end"/>
      </w:r>
      <w:r>
        <w:rPr>
          <w:rStyle w:val="40"/>
          <w:rFonts w:ascii="黑体" w:hAnsi="黑体" w:eastAsia="黑体"/>
          <w:b w:val="0"/>
          <w:color w:val="auto"/>
          <w:sz w:val="24"/>
          <w:szCs w:val="24"/>
        </w:rPr>
        <w:fldChar w:fldCharType="end"/>
      </w:r>
    </w:p>
    <w:p>
      <w:pPr>
        <w:pStyle w:val="24"/>
        <w:tabs>
          <w:tab w:val="right" w:leader="dot" w:pos="8720"/>
        </w:tabs>
        <w:rPr>
          <w:rFonts w:ascii="黑体" w:hAnsi="黑体" w:eastAsia="黑体" w:cs="Times New Roman"/>
          <w:b w:val="0"/>
          <w:bCs w:val="0"/>
          <w:i w:val="0"/>
          <w:iCs w:val="0"/>
          <w:color w:val="auto"/>
        </w:rPr>
      </w:pPr>
      <w:r>
        <w:rPr>
          <w:rStyle w:val="40"/>
          <w:rFonts w:ascii="黑体" w:hAnsi="黑体" w:eastAsia="黑体"/>
          <w:b w:val="0"/>
          <w:i w:val="0"/>
          <w:color w:val="auto"/>
        </w:rPr>
        <w:fldChar w:fldCharType="begin"/>
      </w:r>
      <w:r>
        <w:rPr>
          <w:rStyle w:val="40"/>
          <w:rFonts w:ascii="黑体" w:hAnsi="黑体" w:eastAsia="黑体"/>
          <w:b w:val="0"/>
          <w:i w:val="0"/>
          <w:color w:val="auto"/>
        </w:rPr>
        <w:instrText xml:space="preserve"> </w:instrText>
      </w:r>
      <w:r>
        <w:rPr>
          <w:rFonts w:ascii="黑体" w:hAnsi="黑体" w:eastAsia="黑体"/>
          <w:b w:val="0"/>
          <w:i w:val="0"/>
          <w:color w:val="auto"/>
        </w:rPr>
        <w:instrText xml:space="preserve">HYPERLINK \l "_Toc1569714"</w:instrText>
      </w:r>
      <w:r>
        <w:rPr>
          <w:rStyle w:val="40"/>
          <w:rFonts w:ascii="黑体" w:hAnsi="黑体" w:eastAsia="黑体"/>
          <w:b w:val="0"/>
          <w:i w:val="0"/>
          <w:color w:val="auto"/>
        </w:rPr>
        <w:instrText xml:space="preserve"> </w:instrText>
      </w:r>
      <w:r>
        <w:rPr>
          <w:rStyle w:val="40"/>
          <w:rFonts w:ascii="黑体" w:hAnsi="黑体" w:eastAsia="黑体"/>
          <w:b w:val="0"/>
          <w:i w:val="0"/>
          <w:color w:val="auto"/>
        </w:rPr>
        <w:fldChar w:fldCharType="separate"/>
      </w:r>
      <w:r>
        <w:rPr>
          <w:rStyle w:val="40"/>
          <w:rFonts w:hint="eastAsia" w:ascii="黑体" w:hAnsi="黑体" w:eastAsia="黑体"/>
          <w:b w:val="0"/>
          <w:i w:val="0"/>
          <w:color w:val="auto"/>
        </w:rPr>
        <w:t>四、重点项目</w:t>
      </w:r>
      <w:r>
        <w:rPr>
          <w:rFonts w:ascii="黑体" w:hAnsi="黑体" w:eastAsia="黑体"/>
          <w:b w:val="0"/>
          <w:i w:val="0"/>
          <w:color w:val="auto"/>
        </w:rPr>
        <w:tab/>
      </w:r>
      <w:r>
        <w:rPr>
          <w:rFonts w:ascii="黑体" w:hAnsi="黑体" w:eastAsia="黑体"/>
          <w:b w:val="0"/>
          <w:i w:val="0"/>
          <w:color w:val="auto"/>
        </w:rPr>
        <w:fldChar w:fldCharType="begin"/>
      </w:r>
      <w:r>
        <w:rPr>
          <w:rFonts w:ascii="黑体" w:hAnsi="黑体" w:eastAsia="黑体"/>
          <w:b w:val="0"/>
          <w:i w:val="0"/>
          <w:color w:val="auto"/>
        </w:rPr>
        <w:instrText xml:space="preserve"> PAGEREF _Toc1569714 \h </w:instrText>
      </w:r>
      <w:r>
        <w:rPr>
          <w:rFonts w:ascii="黑体" w:hAnsi="黑体" w:eastAsia="黑体"/>
          <w:b w:val="0"/>
          <w:i w:val="0"/>
          <w:color w:val="auto"/>
        </w:rPr>
        <w:fldChar w:fldCharType="separate"/>
      </w:r>
      <w:r>
        <w:rPr>
          <w:rFonts w:ascii="黑体" w:hAnsi="黑体" w:eastAsia="黑体"/>
          <w:b w:val="0"/>
          <w:i w:val="0"/>
          <w:color w:val="auto"/>
        </w:rPr>
        <w:t>11</w:t>
      </w:r>
      <w:r>
        <w:rPr>
          <w:rFonts w:ascii="黑体" w:hAnsi="黑体" w:eastAsia="黑体"/>
          <w:b w:val="0"/>
          <w:i w:val="0"/>
          <w:color w:val="auto"/>
        </w:rPr>
        <w:fldChar w:fldCharType="end"/>
      </w:r>
      <w:r>
        <w:rPr>
          <w:rStyle w:val="40"/>
          <w:rFonts w:ascii="黑体" w:hAnsi="黑体" w:eastAsia="黑体"/>
          <w:b w:val="0"/>
          <w:i w:val="0"/>
          <w:color w:val="auto"/>
        </w:rPr>
        <w:fldChar w:fldCharType="end"/>
      </w:r>
    </w:p>
    <w:p>
      <w:pPr>
        <w:pStyle w:val="30"/>
        <w:tabs>
          <w:tab w:val="right" w:leader="dot" w:pos="8720"/>
        </w:tabs>
        <w:rPr>
          <w:rFonts w:ascii="黑体" w:hAnsi="黑体" w:eastAsia="黑体" w:cs="Times New Roman"/>
          <w:b w:val="0"/>
          <w:bCs w:val="0"/>
          <w:color w:val="auto"/>
          <w:sz w:val="24"/>
          <w:szCs w:val="24"/>
        </w:rPr>
      </w:pPr>
      <w:r>
        <w:rPr>
          <w:rStyle w:val="40"/>
          <w:rFonts w:ascii="黑体" w:hAnsi="黑体" w:eastAsia="黑体"/>
          <w:b w:val="0"/>
          <w:color w:val="auto"/>
          <w:sz w:val="24"/>
          <w:szCs w:val="24"/>
        </w:rPr>
        <w:fldChar w:fldCharType="begin"/>
      </w:r>
      <w:r>
        <w:rPr>
          <w:rStyle w:val="40"/>
          <w:rFonts w:ascii="黑体" w:hAnsi="黑体" w:eastAsia="黑体"/>
          <w:b w:val="0"/>
          <w:color w:val="auto"/>
          <w:sz w:val="24"/>
          <w:szCs w:val="24"/>
        </w:rPr>
        <w:instrText xml:space="preserve"> </w:instrText>
      </w:r>
      <w:r>
        <w:rPr>
          <w:rFonts w:ascii="黑体" w:hAnsi="黑体" w:eastAsia="黑体"/>
          <w:b w:val="0"/>
          <w:color w:val="auto"/>
          <w:sz w:val="24"/>
          <w:szCs w:val="24"/>
        </w:rPr>
        <w:instrText xml:space="preserve">HYPERLINK \l "_Toc1569715"</w:instrText>
      </w:r>
      <w:r>
        <w:rPr>
          <w:rStyle w:val="40"/>
          <w:rFonts w:ascii="黑体" w:hAnsi="黑体" w:eastAsia="黑体"/>
          <w:b w:val="0"/>
          <w:color w:val="auto"/>
          <w:sz w:val="24"/>
          <w:szCs w:val="24"/>
        </w:rPr>
        <w:instrText xml:space="preserve"> </w:instrText>
      </w:r>
      <w:r>
        <w:rPr>
          <w:rStyle w:val="40"/>
          <w:rFonts w:ascii="黑体" w:hAnsi="黑体" w:eastAsia="黑体"/>
          <w:b w:val="0"/>
          <w:color w:val="auto"/>
          <w:sz w:val="24"/>
          <w:szCs w:val="24"/>
        </w:rPr>
        <w:fldChar w:fldCharType="separate"/>
      </w:r>
      <w:r>
        <w:rPr>
          <w:rStyle w:val="40"/>
          <w:rFonts w:hint="eastAsia" w:ascii="黑体" w:hAnsi="黑体" w:eastAsia="黑体"/>
          <w:b w:val="0"/>
          <w:color w:val="auto"/>
          <w:sz w:val="24"/>
          <w:szCs w:val="24"/>
        </w:rPr>
        <w:t>（一）项目分布</w:t>
      </w:r>
      <w:r>
        <w:rPr>
          <w:rFonts w:ascii="黑体" w:hAnsi="黑体" w:eastAsia="黑体"/>
          <w:b w:val="0"/>
          <w:color w:val="auto"/>
          <w:sz w:val="24"/>
          <w:szCs w:val="24"/>
        </w:rPr>
        <w:tab/>
      </w:r>
      <w:r>
        <w:rPr>
          <w:rFonts w:ascii="黑体" w:hAnsi="黑体" w:eastAsia="黑体"/>
          <w:b w:val="0"/>
          <w:color w:val="auto"/>
          <w:sz w:val="24"/>
          <w:szCs w:val="24"/>
        </w:rPr>
        <w:fldChar w:fldCharType="begin"/>
      </w:r>
      <w:r>
        <w:rPr>
          <w:rFonts w:ascii="黑体" w:hAnsi="黑体" w:eastAsia="黑体"/>
          <w:b w:val="0"/>
          <w:color w:val="auto"/>
          <w:sz w:val="24"/>
          <w:szCs w:val="24"/>
        </w:rPr>
        <w:instrText xml:space="preserve"> PAGEREF _Toc1569715 \h </w:instrText>
      </w:r>
      <w:r>
        <w:rPr>
          <w:rFonts w:ascii="黑体" w:hAnsi="黑体" w:eastAsia="黑体"/>
          <w:b w:val="0"/>
          <w:color w:val="auto"/>
          <w:sz w:val="24"/>
          <w:szCs w:val="24"/>
        </w:rPr>
        <w:fldChar w:fldCharType="separate"/>
      </w:r>
      <w:r>
        <w:rPr>
          <w:rFonts w:ascii="黑体" w:hAnsi="黑体" w:eastAsia="黑体"/>
          <w:b w:val="0"/>
          <w:color w:val="auto"/>
          <w:sz w:val="24"/>
          <w:szCs w:val="24"/>
        </w:rPr>
        <w:t>11</w:t>
      </w:r>
      <w:r>
        <w:rPr>
          <w:rFonts w:ascii="黑体" w:hAnsi="黑体" w:eastAsia="黑体"/>
          <w:b w:val="0"/>
          <w:color w:val="auto"/>
          <w:sz w:val="24"/>
          <w:szCs w:val="24"/>
        </w:rPr>
        <w:fldChar w:fldCharType="end"/>
      </w:r>
      <w:r>
        <w:rPr>
          <w:rStyle w:val="40"/>
          <w:rFonts w:ascii="黑体" w:hAnsi="黑体" w:eastAsia="黑体"/>
          <w:b w:val="0"/>
          <w:color w:val="auto"/>
          <w:sz w:val="24"/>
          <w:szCs w:val="24"/>
        </w:rPr>
        <w:fldChar w:fldCharType="end"/>
      </w:r>
    </w:p>
    <w:p>
      <w:pPr>
        <w:pStyle w:val="30"/>
        <w:tabs>
          <w:tab w:val="right" w:leader="dot" w:pos="8720"/>
        </w:tabs>
        <w:rPr>
          <w:rFonts w:ascii="黑体" w:hAnsi="黑体" w:eastAsia="黑体" w:cs="Times New Roman"/>
          <w:b w:val="0"/>
          <w:bCs w:val="0"/>
          <w:color w:val="auto"/>
          <w:sz w:val="24"/>
          <w:szCs w:val="24"/>
        </w:rPr>
      </w:pPr>
      <w:r>
        <w:rPr>
          <w:rStyle w:val="40"/>
          <w:rFonts w:ascii="黑体" w:hAnsi="黑体" w:eastAsia="黑体"/>
          <w:b w:val="0"/>
          <w:color w:val="auto"/>
          <w:sz w:val="24"/>
          <w:szCs w:val="24"/>
        </w:rPr>
        <w:fldChar w:fldCharType="begin"/>
      </w:r>
      <w:r>
        <w:rPr>
          <w:rStyle w:val="40"/>
          <w:rFonts w:ascii="黑体" w:hAnsi="黑体" w:eastAsia="黑体"/>
          <w:b w:val="0"/>
          <w:color w:val="auto"/>
          <w:sz w:val="24"/>
          <w:szCs w:val="24"/>
        </w:rPr>
        <w:instrText xml:space="preserve"> </w:instrText>
      </w:r>
      <w:r>
        <w:rPr>
          <w:rFonts w:ascii="黑体" w:hAnsi="黑体" w:eastAsia="黑体"/>
          <w:b w:val="0"/>
          <w:color w:val="auto"/>
          <w:sz w:val="24"/>
          <w:szCs w:val="24"/>
        </w:rPr>
        <w:instrText xml:space="preserve">HYPERLINK \l "_Toc1569716"</w:instrText>
      </w:r>
      <w:r>
        <w:rPr>
          <w:rStyle w:val="40"/>
          <w:rFonts w:ascii="黑体" w:hAnsi="黑体" w:eastAsia="黑体"/>
          <w:b w:val="0"/>
          <w:color w:val="auto"/>
          <w:sz w:val="24"/>
          <w:szCs w:val="24"/>
        </w:rPr>
        <w:instrText xml:space="preserve"> </w:instrText>
      </w:r>
      <w:r>
        <w:rPr>
          <w:rStyle w:val="40"/>
          <w:rFonts w:ascii="黑体" w:hAnsi="黑体" w:eastAsia="黑体"/>
          <w:b w:val="0"/>
          <w:color w:val="auto"/>
          <w:sz w:val="24"/>
          <w:szCs w:val="24"/>
        </w:rPr>
        <w:fldChar w:fldCharType="separate"/>
      </w:r>
      <w:r>
        <w:rPr>
          <w:rStyle w:val="40"/>
          <w:rFonts w:hint="eastAsia" w:ascii="黑体" w:hAnsi="黑体" w:eastAsia="黑体"/>
          <w:b w:val="0"/>
          <w:color w:val="auto"/>
          <w:sz w:val="24"/>
          <w:szCs w:val="24"/>
        </w:rPr>
        <w:t>（二）投资估算</w:t>
      </w:r>
      <w:r>
        <w:rPr>
          <w:rFonts w:ascii="黑体" w:hAnsi="黑体" w:eastAsia="黑体"/>
          <w:b w:val="0"/>
          <w:color w:val="auto"/>
          <w:sz w:val="24"/>
          <w:szCs w:val="24"/>
        </w:rPr>
        <w:tab/>
      </w:r>
      <w:r>
        <w:rPr>
          <w:rFonts w:ascii="黑体" w:hAnsi="黑体" w:eastAsia="黑体"/>
          <w:b w:val="0"/>
          <w:color w:val="auto"/>
          <w:sz w:val="24"/>
          <w:szCs w:val="24"/>
        </w:rPr>
        <w:fldChar w:fldCharType="begin"/>
      </w:r>
      <w:r>
        <w:rPr>
          <w:rFonts w:ascii="黑体" w:hAnsi="黑体" w:eastAsia="黑体"/>
          <w:b w:val="0"/>
          <w:color w:val="auto"/>
          <w:sz w:val="24"/>
          <w:szCs w:val="24"/>
        </w:rPr>
        <w:instrText xml:space="preserve"> PAGEREF _Toc1569716 \h </w:instrText>
      </w:r>
      <w:r>
        <w:rPr>
          <w:rFonts w:ascii="黑体" w:hAnsi="黑体" w:eastAsia="黑体"/>
          <w:b w:val="0"/>
          <w:color w:val="auto"/>
          <w:sz w:val="24"/>
          <w:szCs w:val="24"/>
        </w:rPr>
        <w:fldChar w:fldCharType="separate"/>
      </w:r>
      <w:r>
        <w:rPr>
          <w:rFonts w:ascii="黑体" w:hAnsi="黑体" w:eastAsia="黑体"/>
          <w:b w:val="0"/>
          <w:color w:val="auto"/>
          <w:sz w:val="24"/>
          <w:szCs w:val="24"/>
        </w:rPr>
        <w:t>13</w:t>
      </w:r>
      <w:r>
        <w:rPr>
          <w:rFonts w:ascii="黑体" w:hAnsi="黑体" w:eastAsia="黑体"/>
          <w:b w:val="0"/>
          <w:color w:val="auto"/>
          <w:sz w:val="24"/>
          <w:szCs w:val="24"/>
        </w:rPr>
        <w:fldChar w:fldCharType="end"/>
      </w:r>
      <w:r>
        <w:rPr>
          <w:rStyle w:val="40"/>
          <w:rFonts w:ascii="黑体" w:hAnsi="黑体" w:eastAsia="黑体"/>
          <w:b w:val="0"/>
          <w:color w:val="auto"/>
          <w:sz w:val="24"/>
          <w:szCs w:val="24"/>
        </w:rPr>
        <w:fldChar w:fldCharType="end"/>
      </w:r>
    </w:p>
    <w:p>
      <w:pPr>
        <w:pStyle w:val="30"/>
        <w:tabs>
          <w:tab w:val="right" w:leader="dot" w:pos="8720"/>
        </w:tabs>
        <w:rPr>
          <w:rFonts w:ascii="黑体" w:hAnsi="黑体" w:eastAsia="黑体" w:cs="Times New Roman"/>
          <w:b w:val="0"/>
          <w:bCs w:val="0"/>
          <w:color w:val="auto"/>
          <w:sz w:val="24"/>
          <w:szCs w:val="24"/>
        </w:rPr>
      </w:pPr>
      <w:r>
        <w:rPr>
          <w:rStyle w:val="40"/>
          <w:rFonts w:ascii="黑体" w:hAnsi="黑体" w:eastAsia="黑体"/>
          <w:b w:val="0"/>
          <w:color w:val="auto"/>
          <w:sz w:val="24"/>
          <w:szCs w:val="24"/>
        </w:rPr>
        <w:fldChar w:fldCharType="begin"/>
      </w:r>
      <w:r>
        <w:rPr>
          <w:rStyle w:val="40"/>
          <w:rFonts w:ascii="黑体" w:hAnsi="黑体" w:eastAsia="黑体"/>
          <w:b w:val="0"/>
          <w:color w:val="auto"/>
          <w:sz w:val="24"/>
          <w:szCs w:val="24"/>
        </w:rPr>
        <w:instrText xml:space="preserve"> </w:instrText>
      </w:r>
      <w:r>
        <w:rPr>
          <w:rFonts w:ascii="黑体" w:hAnsi="黑体" w:eastAsia="黑体"/>
          <w:b w:val="0"/>
          <w:color w:val="auto"/>
          <w:sz w:val="24"/>
          <w:szCs w:val="24"/>
        </w:rPr>
        <w:instrText xml:space="preserve">HYPERLINK \l "_Toc1569717"</w:instrText>
      </w:r>
      <w:r>
        <w:rPr>
          <w:rStyle w:val="40"/>
          <w:rFonts w:ascii="黑体" w:hAnsi="黑体" w:eastAsia="黑体"/>
          <w:b w:val="0"/>
          <w:color w:val="auto"/>
          <w:sz w:val="24"/>
          <w:szCs w:val="24"/>
        </w:rPr>
        <w:instrText xml:space="preserve"> </w:instrText>
      </w:r>
      <w:r>
        <w:rPr>
          <w:rStyle w:val="40"/>
          <w:rFonts w:ascii="黑体" w:hAnsi="黑体" w:eastAsia="黑体"/>
          <w:b w:val="0"/>
          <w:color w:val="auto"/>
          <w:sz w:val="24"/>
          <w:szCs w:val="24"/>
        </w:rPr>
        <w:fldChar w:fldCharType="separate"/>
      </w:r>
      <w:r>
        <w:rPr>
          <w:rStyle w:val="40"/>
          <w:rFonts w:hint="eastAsia" w:ascii="黑体" w:hAnsi="黑体" w:eastAsia="黑体"/>
          <w:b w:val="0"/>
          <w:color w:val="auto"/>
          <w:sz w:val="24"/>
          <w:szCs w:val="24"/>
        </w:rPr>
        <w:t>（三）资金筹措</w:t>
      </w:r>
      <w:r>
        <w:rPr>
          <w:rFonts w:ascii="黑体" w:hAnsi="黑体" w:eastAsia="黑体"/>
          <w:b w:val="0"/>
          <w:color w:val="auto"/>
          <w:sz w:val="24"/>
          <w:szCs w:val="24"/>
        </w:rPr>
        <w:tab/>
      </w:r>
      <w:r>
        <w:rPr>
          <w:rFonts w:ascii="黑体" w:hAnsi="黑体" w:eastAsia="黑体"/>
          <w:b w:val="0"/>
          <w:color w:val="auto"/>
          <w:sz w:val="24"/>
          <w:szCs w:val="24"/>
        </w:rPr>
        <w:fldChar w:fldCharType="begin"/>
      </w:r>
      <w:r>
        <w:rPr>
          <w:rFonts w:ascii="黑体" w:hAnsi="黑体" w:eastAsia="黑体"/>
          <w:b w:val="0"/>
          <w:color w:val="auto"/>
          <w:sz w:val="24"/>
          <w:szCs w:val="24"/>
        </w:rPr>
        <w:instrText xml:space="preserve"> PAGEREF _Toc1569717 \h </w:instrText>
      </w:r>
      <w:r>
        <w:rPr>
          <w:rFonts w:ascii="黑体" w:hAnsi="黑体" w:eastAsia="黑体"/>
          <w:b w:val="0"/>
          <w:color w:val="auto"/>
          <w:sz w:val="24"/>
          <w:szCs w:val="24"/>
        </w:rPr>
        <w:fldChar w:fldCharType="separate"/>
      </w:r>
      <w:r>
        <w:rPr>
          <w:rFonts w:ascii="黑体" w:hAnsi="黑体" w:eastAsia="黑体"/>
          <w:b w:val="0"/>
          <w:color w:val="auto"/>
          <w:sz w:val="24"/>
          <w:szCs w:val="24"/>
        </w:rPr>
        <w:t>13</w:t>
      </w:r>
      <w:r>
        <w:rPr>
          <w:rFonts w:ascii="黑体" w:hAnsi="黑体" w:eastAsia="黑体"/>
          <w:b w:val="0"/>
          <w:color w:val="auto"/>
          <w:sz w:val="24"/>
          <w:szCs w:val="24"/>
        </w:rPr>
        <w:fldChar w:fldCharType="end"/>
      </w:r>
      <w:r>
        <w:rPr>
          <w:rStyle w:val="40"/>
          <w:rFonts w:ascii="黑体" w:hAnsi="黑体" w:eastAsia="黑体"/>
          <w:b w:val="0"/>
          <w:color w:val="auto"/>
          <w:sz w:val="24"/>
          <w:szCs w:val="24"/>
        </w:rPr>
        <w:fldChar w:fldCharType="end"/>
      </w:r>
    </w:p>
    <w:p>
      <w:pPr>
        <w:pStyle w:val="24"/>
        <w:tabs>
          <w:tab w:val="right" w:leader="dot" w:pos="8720"/>
        </w:tabs>
        <w:rPr>
          <w:rFonts w:ascii="黑体" w:hAnsi="黑体" w:eastAsia="黑体" w:cs="Times New Roman"/>
          <w:b w:val="0"/>
          <w:bCs w:val="0"/>
          <w:i w:val="0"/>
          <w:iCs w:val="0"/>
          <w:color w:val="auto"/>
        </w:rPr>
      </w:pPr>
      <w:r>
        <w:rPr>
          <w:rStyle w:val="40"/>
          <w:rFonts w:ascii="黑体" w:hAnsi="黑体" w:eastAsia="黑体"/>
          <w:b w:val="0"/>
          <w:i w:val="0"/>
          <w:color w:val="auto"/>
        </w:rPr>
        <w:fldChar w:fldCharType="begin"/>
      </w:r>
      <w:r>
        <w:rPr>
          <w:rStyle w:val="40"/>
          <w:rFonts w:ascii="黑体" w:hAnsi="黑体" w:eastAsia="黑体"/>
          <w:b w:val="0"/>
          <w:i w:val="0"/>
          <w:color w:val="auto"/>
        </w:rPr>
        <w:instrText xml:space="preserve"> </w:instrText>
      </w:r>
      <w:r>
        <w:rPr>
          <w:rFonts w:ascii="黑体" w:hAnsi="黑体" w:eastAsia="黑体"/>
          <w:b w:val="0"/>
          <w:i w:val="0"/>
          <w:color w:val="auto"/>
        </w:rPr>
        <w:instrText xml:space="preserve">HYPERLINK \l "_Toc1569718"</w:instrText>
      </w:r>
      <w:r>
        <w:rPr>
          <w:rStyle w:val="40"/>
          <w:rFonts w:ascii="黑体" w:hAnsi="黑体" w:eastAsia="黑体"/>
          <w:b w:val="0"/>
          <w:i w:val="0"/>
          <w:color w:val="auto"/>
        </w:rPr>
        <w:instrText xml:space="preserve"> </w:instrText>
      </w:r>
      <w:r>
        <w:rPr>
          <w:rStyle w:val="40"/>
          <w:rFonts w:ascii="黑体" w:hAnsi="黑体" w:eastAsia="黑体"/>
          <w:b w:val="0"/>
          <w:i w:val="0"/>
          <w:color w:val="auto"/>
        </w:rPr>
        <w:fldChar w:fldCharType="separate"/>
      </w:r>
      <w:r>
        <w:rPr>
          <w:rStyle w:val="40"/>
          <w:rFonts w:hint="eastAsia" w:ascii="黑体" w:hAnsi="黑体" w:eastAsia="黑体"/>
          <w:b w:val="0"/>
          <w:i w:val="0"/>
          <w:color w:val="auto"/>
        </w:rPr>
        <w:t>五、规划环境影响</w:t>
      </w:r>
      <w:r>
        <w:rPr>
          <w:rFonts w:ascii="黑体" w:hAnsi="黑体" w:eastAsia="黑体"/>
          <w:b w:val="0"/>
          <w:i w:val="0"/>
          <w:color w:val="auto"/>
        </w:rPr>
        <w:tab/>
      </w:r>
      <w:r>
        <w:rPr>
          <w:rFonts w:ascii="黑体" w:hAnsi="黑体" w:eastAsia="黑体"/>
          <w:b w:val="0"/>
          <w:i w:val="0"/>
          <w:color w:val="auto"/>
        </w:rPr>
        <w:fldChar w:fldCharType="begin"/>
      </w:r>
      <w:r>
        <w:rPr>
          <w:rFonts w:ascii="黑体" w:hAnsi="黑体" w:eastAsia="黑体"/>
          <w:b w:val="0"/>
          <w:i w:val="0"/>
          <w:color w:val="auto"/>
        </w:rPr>
        <w:instrText xml:space="preserve"> PAGEREF _Toc1569718 \h </w:instrText>
      </w:r>
      <w:r>
        <w:rPr>
          <w:rFonts w:ascii="黑体" w:hAnsi="黑体" w:eastAsia="黑体"/>
          <w:b w:val="0"/>
          <w:i w:val="0"/>
          <w:color w:val="auto"/>
        </w:rPr>
        <w:fldChar w:fldCharType="separate"/>
      </w:r>
      <w:r>
        <w:rPr>
          <w:rFonts w:ascii="黑体" w:hAnsi="黑体" w:eastAsia="黑体"/>
          <w:b w:val="0"/>
          <w:i w:val="0"/>
          <w:color w:val="auto"/>
        </w:rPr>
        <w:t>13</w:t>
      </w:r>
      <w:r>
        <w:rPr>
          <w:rFonts w:ascii="黑体" w:hAnsi="黑体" w:eastAsia="黑体"/>
          <w:b w:val="0"/>
          <w:i w:val="0"/>
          <w:color w:val="auto"/>
        </w:rPr>
        <w:fldChar w:fldCharType="end"/>
      </w:r>
      <w:r>
        <w:rPr>
          <w:rStyle w:val="40"/>
          <w:rFonts w:ascii="黑体" w:hAnsi="黑体" w:eastAsia="黑体"/>
          <w:b w:val="0"/>
          <w:i w:val="0"/>
          <w:color w:val="auto"/>
        </w:rPr>
        <w:fldChar w:fldCharType="end"/>
      </w:r>
    </w:p>
    <w:p>
      <w:pPr>
        <w:pStyle w:val="30"/>
        <w:tabs>
          <w:tab w:val="right" w:leader="dot" w:pos="8720"/>
        </w:tabs>
        <w:rPr>
          <w:rFonts w:ascii="黑体" w:hAnsi="黑体" w:eastAsia="黑体" w:cs="Times New Roman"/>
          <w:b w:val="0"/>
          <w:bCs w:val="0"/>
          <w:color w:val="auto"/>
          <w:sz w:val="24"/>
          <w:szCs w:val="24"/>
        </w:rPr>
      </w:pPr>
      <w:r>
        <w:rPr>
          <w:rStyle w:val="40"/>
          <w:rFonts w:ascii="黑体" w:hAnsi="黑体" w:eastAsia="黑体"/>
          <w:b w:val="0"/>
          <w:color w:val="auto"/>
          <w:sz w:val="24"/>
          <w:szCs w:val="24"/>
        </w:rPr>
        <w:fldChar w:fldCharType="begin"/>
      </w:r>
      <w:r>
        <w:rPr>
          <w:rStyle w:val="40"/>
          <w:rFonts w:ascii="黑体" w:hAnsi="黑体" w:eastAsia="黑体"/>
          <w:b w:val="0"/>
          <w:color w:val="auto"/>
          <w:sz w:val="24"/>
          <w:szCs w:val="24"/>
        </w:rPr>
        <w:instrText xml:space="preserve"> </w:instrText>
      </w:r>
      <w:r>
        <w:rPr>
          <w:rFonts w:ascii="黑体" w:hAnsi="黑体" w:eastAsia="黑体"/>
          <w:b w:val="0"/>
          <w:color w:val="auto"/>
          <w:sz w:val="24"/>
          <w:szCs w:val="24"/>
        </w:rPr>
        <w:instrText xml:space="preserve">HYPERLINK \l "_Toc1569719"</w:instrText>
      </w:r>
      <w:r>
        <w:rPr>
          <w:rStyle w:val="40"/>
          <w:rFonts w:ascii="黑体" w:hAnsi="黑体" w:eastAsia="黑体"/>
          <w:b w:val="0"/>
          <w:color w:val="auto"/>
          <w:sz w:val="24"/>
          <w:szCs w:val="24"/>
        </w:rPr>
        <w:instrText xml:space="preserve"> </w:instrText>
      </w:r>
      <w:r>
        <w:rPr>
          <w:rStyle w:val="40"/>
          <w:rFonts w:ascii="黑体" w:hAnsi="黑体" w:eastAsia="黑体"/>
          <w:b w:val="0"/>
          <w:color w:val="auto"/>
          <w:sz w:val="24"/>
          <w:szCs w:val="24"/>
        </w:rPr>
        <w:fldChar w:fldCharType="separate"/>
      </w:r>
      <w:r>
        <w:rPr>
          <w:rStyle w:val="40"/>
          <w:rFonts w:hint="eastAsia" w:ascii="黑体" w:hAnsi="黑体" w:eastAsia="黑体"/>
          <w:b w:val="0"/>
          <w:color w:val="auto"/>
          <w:sz w:val="24"/>
          <w:szCs w:val="24"/>
        </w:rPr>
        <w:t>（一）环境影响分析与评价</w:t>
      </w:r>
      <w:r>
        <w:rPr>
          <w:rFonts w:ascii="黑体" w:hAnsi="黑体" w:eastAsia="黑体"/>
          <w:b w:val="0"/>
          <w:color w:val="auto"/>
          <w:sz w:val="24"/>
          <w:szCs w:val="24"/>
        </w:rPr>
        <w:tab/>
      </w:r>
      <w:r>
        <w:rPr>
          <w:rFonts w:ascii="黑体" w:hAnsi="黑体" w:eastAsia="黑体"/>
          <w:b w:val="0"/>
          <w:color w:val="auto"/>
          <w:sz w:val="24"/>
          <w:szCs w:val="24"/>
        </w:rPr>
        <w:fldChar w:fldCharType="begin"/>
      </w:r>
      <w:r>
        <w:rPr>
          <w:rFonts w:ascii="黑体" w:hAnsi="黑体" w:eastAsia="黑体"/>
          <w:b w:val="0"/>
          <w:color w:val="auto"/>
          <w:sz w:val="24"/>
          <w:szCs w:val="24"/>
        </w:rPr>
        <w:instrText xml:space="preserve"> PAGEREF _Toc1569719 \h </w:instrText>
      </w:r>
      <w:r>
        <w:rPr>
          <w:rFonts w:ascii="黑体" w:hAnsi="黑体" w:eastAsia="黑体"/>
          <w:b w:val="0"/>
          <w:color w:val="auto"/>
          <w:sz w:val="24"/>
          <w:szCs w:val="24"/>
        </w:rPr>
        <w:fldChar w:fldCharType="separate"/>
      </w:r>
      <w:r>
        <w:rPr>
          <w:rFonts w:ascii="黑体" w:hAnsi="黑体" w:eastAsia="黑体"/>
          <w:b w:val="0"/>
          <w:color w:val="auto"/>
          <w:sz w:val="24"/>
          <w:szCs w:val="24"/>
        </w:rPr>
        <w:t>13</w:t>
      </w:r>
      <w:r>
        <w:rPr>
          <w:rFonts w:ascii="黑体" w:hAnsi="黑体" w:eastAsia="黑体"/>
          <w:b w:val="0"/>
          <w:color w:val="auto"/>
          <w:sz w:val="24"/>
          <w:szCs w:val="24"/>
        </w:rPr>
        <w:fldChar w:fldCharType="end"/>
      </w:r>
      <w:r>
        <w:rPr>
          <w:rStyle w:val="40"/>
          <w:rFonts w:ascii="黑体" w:hAnsi="黑体" w:eastAsia="黑体"/>
          <w:b w:val="0"/>
          <w:color w:val="auto"/>
          <w:sz w:val="24"/>
          <w:szCs w:val="24"/>
        </w:rPr>
        <w:fldChar w:fldCharType="end"/>
      </w:r>
    </w:p>
    <w:p>
      <w:pPr>
        <w:pStyle w:val="30"/>
        <w:tabs>
          <w:tab w:val="right" w:leader="dot" w:pos="8720"/>
        </w:tabs>
        <w:rPr>
          <w:rFonts w:ascii="黑体" w:hAnsi="黑体" w:eastAsia="黑体" w:cs="Times New Roman"/>
          <w:b w:val="0"/>
          <w:bCs w:val="0"/>
          <w:color w:val="auto"/>
          <w:sz w:val="24"/>
          <w:szCs w:val="24"/>
        </w:rPr>
      </w:pPr>
      <w:r>
        <w:rPr>
          <w:rStyle w:val="40"/>
          <w:rFonts w:ascii="黑体" w:hAnsi="黑体" w:eastAsia="黑体"/>
          <w:b w:val="0"/>
          <w:color w:val="auto"/>
          <w:sz w:val="24"/>
          <w:szCs w:val="24"/>
        </w:rPr>
        <w:fldChar w:fldCharType="begin"/>
      </w:r>
      <w:r>
        <w:rPr>
          <w:rStyle w:val="40"/>
          <w:rFonts w:ascii="黑体" w:hAnsi="黑体" w:eastAsia="黑体"/>
          <w:b w:val="0"/>
          <w:color w:val="auto"/>
          <w:sz w:val="24"/>
          <w:szCs w:val="24"/>
        </w:rPr>
        <w:instrText xml:space="preserve"> </w:instrText>
      </w:r>
      <w:r>
        <w:rPr>
          <w:rFonts w:ascii="黑体" w:hAnsi="黑体" w:eastAsia="黑体"/>
          <w:b w:val="0"/>
          <w:color w:val="auto"/>
          <w:sz w:val="24"/>
          <w:szCs w:val="24"/>
        </w:rPr>
        <w:instrText xml:space="preserve">HYPERLINK \l "_Toc1569721"</w:instrText>
      </w:r>
      <w:r>
        <w:rPr>
          <w:rStyle w:val="40"/>
          <w:rFonts w:ascii="黑体" w:hAnsi="黑体" w:eastAsia="黑体"/>
          <w:b w:val="0"/>
          <w:color w:val="auto"/>
          <w:sz w:val="24"/>
          <w:szCs w:val="24"/>
        </w:rPr>
        <w:instrText xml:space="preserve"> </w:instrText>
      </w:r>
      <w:r>
        <w:rPr>
          <w:rStyle w:val="40"/>
          <w:rFonts w:ascii="黑体" w:hAnsi="黑体" w:eastAsia="黑体"/>
          <w:b w:val="0"/>
          <w:color w:val="auto"/>
          <w:sz w:val="24"/>
          <w:szCs w:val="24"/>
        </w:rPr>
        <w:fldChar w:fldCharType="separate"/>
      </w:r>
      <w:r>
        <w:rPr>
          <w:rStyle w:val="40"/>
          <w:rFonts w:hint="eastAsia" w:ascii="黑体" w:hAnsi="黑体" w:eastAsia="黑体"/>
          <w:b w:val="0"/>
          <w:color w:val="auto"/>
          <w:sz w:val="24"/>
          <w:szCs w:val="24"/>
        </w:rPr>
        <w:t>（</w:t>
      </w:r>
      <w:r>
        <w:rPr>
          <w:rStyle w:val="40"/>
          <w:rFonts w:hint="eastAsia" w:ascii="黑体" w:hAnsi="黑体" w:eastAsia="黑体"/>
          <w:b w:val="0"/>
          <w:color w:val="auto"/>
          <w:sz w:val="24"/>
          <w:szCs w:val="24"/>
          <w:lang w:eastAsia="zh-CN"/>
        </w:rPr>
        <w:t>二</w:t>
      </w:r>
      <w:r>
        <w:rPr>
          <w:rStyle w:val="40"/>
          <w:rFonts w:hint="eastAsia" w:ascii="黑体" w:hAnsi="黑体" w:eastAsia="黑体"/>
          <w:b w:val="0"/>
          <w:color w:val="auto"/>
          <w:sz w:val="24"/>
          <w:szCs w:val="24"/>
        </w:rPr>
        <w:t>）综合评述</w:t>
      </w:r>
      <w:r>
        <w:rPr>
          <w:rFonts w:ascii="黑体" w:hAnsi="黑体" w:eastAsia="黑体"/>
          <w:b w:val="0"/>
          <w:color w:val="auto"/>
          <w:sz w:val="24"/>
          <w:szCs w:val="24"/>
        </w:rPr>
        <w:tab/>
      </w:r>
      <w:r>
        <w:rPr>
          <w:rFonts w:ascii="黑体" w:hAnsi="黑体" w:eastAsia="黑体"/>
          <w:b w:val="0"/>
          <w:color w:val="auto"/>
          <w:sz w:val="24"/>
          <w:szCs w:val="24"/>
        </w:rPr>
        <w:fldChar w:fldCharType="begin"/>
      </w:r>
      <w:r>
        <w:rPr>
          <w:rFonts w:ascii="黑体" w:hAnsi="黑体" w:eastAsia="黑体"/>
          <w:b w:val="0"/>
          <w:color w:val="auto"/>
          <w:sz w:val="24"/>
          <w:szCs w:val="24"/>
        </w:rPr>
        <w:instrText xml:space="preserve"> PAGEREF _Toc1569721 \h </w:instrText>
      </w:r>
      <w:r>
        <w:rPr>
          <w:rFonts w:ascii="黑体" w:hAnsi="黑体" w:eastAsia="黑体"/>
          <w:b w:val="0"/>
          <w:color w:val="auto"/>
          <w:sz w:val="24"/>
          <w:szCs w:val="24"/>
        </w:rPr>
        <w:fldChar w:fldCharType="separate"/>
      </w:r>
      <w:r>
        <w:rPr>
          <w:rFonts w:ascii="黑体" w:hAnsi="黑体" w:eastAsia="黑体"/>
          <w:b w:val="0"/>
          <w:color w:val="auto"/>
          <w:sz w:val="24"/>
          <w:szCs w:val="24"/>
        </w:rPr>
        <w:t>16</w:t>
      </w:r>
      <w:r>
        <w:rPr>
          <w:rFonts w:ascii="黑体" w:hAnsi="黑体" w:eastAsia="黑体"/>
          <w:b w:val="0"/>
          <w:color w:val="auto"/>
          <w:sz w:val="24"/>
          <w:szCs w:val="24"/>
        </w:rPr>
        <w:fldChar w:fldCharType="end"/>
      </w:r>
      <w:r>
        <w:rPr>
          <w:rStyle w:val="40"/>
          <w:rFonts w:ascii="黑体" w:hAnsi="黑体" w:eastAsia="黑体"/>
          <w:b w:val="0"/>
          <w:color w:val="auto"/>
          <w:sz w:val="24"/>
          <w:szCs w:val="24"/>
        </w:rPr>
        <w:fldChar w:fldCharType="end"/>
      </w:r>
    </w:p>
    <w:p>
      <w:pPr>
        <w:pStyle w:val="24"/>
        <w:tabs>
          <w:tab w:val="right" w:leader="dot" w:pos="8720"/>
        </w:tabs>
        <w:rPr>
          <w:rFonts w:ascii="黑体" w:hAnsi="黑体" w:eastAsia="黑体" w:cs="Times New Roman"/>
          <w:b w:val="0"/>
          <w:bCs w:val="0"/>
          <w:i w:val="0"/>
          <w:iCs w:val="0"/>
          <w:color w:val="auto"/>
        </w:rPr>
      </w:pPr>
      <w:r>
        <w:rPr>
          <w:rStyle w:val="40"/>
          <w:rFonts w:ascii="黑体" w:hAnsi="黑体" w:eastAsia="黑体"/>
          <w:b w:val="0"/>
          <w:i w:val="0"/>
          <w:color w:val="auto"/>
        </w:rPr>
        <w:fldChar w:fldCharType="begin"/>
      </w:r>
      <w:r>
        <w:rPr>
          <w:rStyle w:val="40"/>
          <w:rFonts w:ascii="黑体" w:hAnsi="黑体" w:eastAsia="黑体"/>
          <w:b w:val="0"/>
          <w:i w:val="0"/>
          <w:color w:val="auto"/>
        </w:rPr>
        <w:instrText xml:space="preserve"> </w:instrText>
      </w:r>
      <w:r>
        <w:rPr>
          <w:rFonts w:ascii="黑体" w:hAnsi="黑体" w:eastAsia="黑体"/>
          <w:b w:val="0"/>
          <w:i w:val="0"/>
          <w:color w:val="auto"/>
        </w:rPr>
        <w:instrText xml:space="preserve">HYPERLINK \l "_Toc1569722"</w:instrText>
      </w:r>
      <w:r>
        <w:rPr>
          <w:rStyle w:val="40"/>
          <w:rFonts w:ascii="黑体" w:hAnsi="黑体" w:eastAsia="黑体"/>
          <w:b w:val="0"/>
          <w:i w:val="0"/>
          <w:color w:val="auto"/>
        </w:rPr>
        <w:instrText xml:space="preserve"> </w:instrText>
      </w:r>
      <w:r>
        <w:rPr>
          <w:rStyle w:val="40"/>
          <w:rFonts w:ascii="黑体" w:hAnsi="黑体" w:eastAsia="黑体"/>
          <w:b w:val="0"/>
          <w:i w:val="0"/>
          <w:color w:val="auto"/>
        </w:rPr>
        <w:fldChar w:fldCharType="separate"/>
      </w:r>
      <w:r>
        <w:rPr>
          <w:rStyle w:val="40"/>
          <w:rFonts w:hint="eastAsia" w:ascii="黑体" w:hAnsi="黑体" w:eastAsia="黑体"/>
          <w:b w:val="0"/>
          <w:i w:val="0"/>
          <w:color w:val="auto"/>
        </w:rPr>
        <w:t>六、保障措施</w:t>
      </w:r>
      <w:r>
        <w:rPr>
          <w:rFonts w:ascii="黑体" w:hAnsi="黑体" w:eastAsia="黑体"/>
          <w:b w:val="0"/>
          <w:i w:val="0"/>
          <w:color w:val="auto"/>
        </w:rPr>
        <w:tab/>
      </w:r>
      <w:r>
        <w:rPr>
          <w:rFonts w:ascii="黑体" w:hAnsi="黑体" w:eastAsia="黑体"/>
          <w:b w:val="0"/>
          <w:i w:val="0"/>
          <w:color w:val="auto"/>
        </w:rPr>
        <w:fldChar w:fldCharType="begin"/>
      </w:r>
      <w:r>
        <w:rPr>
          <w:rFonts w:ascii="黑体" w:hAnsi="黑体" w:eastAsia="黑体"/>
          <w:b w:val="0"/>
          <w:i w:val="0"/>
          <w:color w:val="auto"/>
        </w:rPr>
        <w:instrText xml:space="preserve"> PAGEREF _Toc1569722 \h </w:instrText>
      </w:r>
      <w:r>
        <w:rPr>
          <w:rFonts w:ascii="黑体" w:hAnsi="黑体" w:eastAsia="黑体"/>
          <w:b w:val="0"/>
          <w:i w:val="0"/>
          <w:color w:val="auto"/>
        </w:rPr>
        <w:fldChar w:fldCharType="separate"/>
      </w:r>
      <w:r>
        <w:rPr>
          <w:rFonts w:ascii="黑体" w:hAnsi="黑体" w:eastAsia="黑体"/>
          <w:b w:val="0"/>
          <w:i w:val="0"/>
          <w:color w:val="auto"/>
        </w:rPr>
        <w:t>17</w:t>
      </w:r>
      <w:r>
        <w:rPr>
          <w:rFonts w:ascii="黑体" w:hAnsi="黑体" w:eastAsia="黑体"/>
          <w:b w:val="0"/>
          <w:i w:val="0"/>
          <w:color w:val="auto"/>
        </w:rPr>
        <w:fldChar w:fldCharType="end"/>
      </w:r>
      <w:r>
        <w:rPr>
          <w:rStyle w:val="40"/>
          <w:rFonts w:ascii="黑体" w:hAnsi="黑体" w:eastAsia="黑体"/>
          <w:b w:val="0"/>
          <w:i w:val="0"/>
          <w:color w:val="auto"/>
        </w:rPr>
        <w:fldChar w:fldCharType="end"/>
      </w:r>
    </w:p>
    <w:p>
      <w:pPr>
        <w:pStyle w:val="30"/>
        <w:tabs>
          <w:tab w:val="right" w:leader="dot" w:pos="8720"/>
        </w:tabs>
        <w:rPr>
          <w:rFonts w:ascii="黑体" w:hAnsi="黑体" w:eastAsia="黑体" w:cs="Times New Roman"/>
          <w:b w:val="0"/>
          <w:bCs w:val="0"/>
          <w:color w:val="auto"/>
          <w:sz w:val="24"/>
          <w:szCs w:val="24"/>
        </w:rPr>
      </w:pPr>
      <w:r>
        <w:rPr>
          <w:rStyle w:val="40"/>
          <w:rFonts w:ascii="黑体" w:hAnsi="黑体" w:eastAsia="黑体"/>
          <w:b w:val="0"/>
          <w:color w:val="auto"/>
          <w:sz w:val="24"/>
          <w:szCs w:val="24"/>
        </w:rPr>
        <w:fldChar w:fldCharType="begin"/>
      </w:r>
      <w:r>
        <w:rPr>
          <w:rStyle w:val="40"/>
          <w:rFonts w:ascii="黑体" w:hAnsi="黑体" w:eastAsia="黑体"/>
          <w:b w:val="0"/>
          <w:color w:val="auto"/>
          <w:sz w:val="24"/>
          <w:szCs w:val="24"/>
        </w:rPr>
        <w:instrText xml:space="preserve"> </w:instrText>
      </w:r>
      <w:r>
        <w:rPr>
          <w:rFonts w:ascii="黑体" w:hAnsi="黑体" w:eastAsia="黑体"/>
          <w:b w:val="0"/>
          <w:color w:val="auto"/>
          <w:sz w:val="24"/>
          <w:szCs w:val="24"/>
        </w:rPr>
        <w:instrText xml:space="preserve">HYPERLINK \l "_Toc1569723"</w:instrText>
      </w:r>
      <w:r>
        <w:rPr>
          <w:rStyle w:val="40"/>
          <w:rFonts w:ascii="黑体" w:hAnsi="黑体" w:eastAsia="黑体"/>
          <w:b w:val="0"/>
          <w:color w:val="auto"/>
          <w:sz w:val="24"/>
          <w:szCs w:val="24"/>
        </w:rPr>
        <w:instrText xml:space="preserve"> </w:instrText>
      </w:r>
      <w:r>
        <w:rPr>
          <w:rStyle w:val="40"/>
          <w:rFonts w:ascii="黑体" w:hAnsi="黑体" w:eastAsia="黑体"/>
          <w:b w:val="0"/>
          <w:color w:val="auto"/>
          <w:sz w:val="24"/>
          <w:szCs w:val="24"/>
        </w:rPr>
        <w:fldChar w:fldCharType="separate"/>
      </w:r>
      <w:r>
        <w:rPr>
          <w:rStyle w:val="40"/>
          <w:rFonts w:hint="eastAsia" w:ascii="黑体" w:hAnsi="黑体" w:eastAsia="黑体"/>
          <w:b w:val="0"/>
          <w:color w:val="auto"/>
          <w:sz w:val="24"/>
          <w:szCs w:val="24"/>
        </w:rPr>
        <w:t>（一）健全管理制度</w:t>
      </w:r>
      <w:r>
        <w:rPr>
          <w:rFonts w:ascii="黑体" w:hAnsi="黑体" w:eastAsia="黑体"/>
          <w:b w:val="0"/>
          <w:color w:val="auto"/>
          <w:sz w:val="24"/>
          <w:szCs w:val="24"/>
        </w:rPr>
        <w:tab/>
      </w:r>
      <w:r>
        <w:rPr>
          <w:rFonts w:ascii="黑体" w:hAnsi="黑体" w:eastAsia="黑体"/>
          <w:b w:val="0"/>
          <w:color w:val="auto"/>
          <w:sz w:val="24"/>
          <w:szCs w:val="24"/>
        </w:rPr>
        <w:fldChar w:fldCharType="begin"/>
      </w:r>
      <w:r>
        <w:rPr>
          <w:rFonts w:ascii="黑体" w:hAnsi="黑体" w:eastAsia="黑体"/>
          <w:b w:val="0"/>
          <w:color w:val="auto"/>
          <w:sz w:val="24"/>
          <w:szCs w:val="24"/>
        </w:rPr>
        <w:instrText xml:space="preserve"> PAGEREF _Toc1569723 \h </w:instrText>
      </w:r>
      <w:r>
        <w:rPr>
          <w:rFonts w:ascii="黑体" w:hAnsi="黑体" w:eastAsia="黑体"/>
          <w:b w:val="0"/>
          <w:color w:val="auto"/>
          <w:sz w:val="24"/>
          <w:szCs w:val="24"/>
        </w:rPr>
        <w:fldChar w:fldCharType="separate"/>
      </w:r>
      <w:r>
        <w:rPr>
          <w:rFonts w:ascii="黑体" w:hAnsi="黑体" w:eastAsia="黑体"/>
          <w:b w:val="0"/>
          <w:color w:val="auto"/>
          <w:sz w:val="24"/>
          <w:szCs w:val="24"/>
        </w:rPr>
        <w:t>17</w:t>
      </w:r>
      <w:r>
        <w:rPr>
          <w:rFonts w:ascii="黑体" w:hAnsi="黑体" w:eastAsia="黑体"/>
          <w:b w:val="0"/>
          <w:color w:val="auto"/>
          <w:sz w:val="24"/>
          <w:szCs w:val="24"/>
        </w:rPr>
        <w:fldChar w:fldCharType="end"/>
      </w:r>
      <w:r>
        <w:rPr>
          <w:rStyle w:val="40"/>
          <w:rFonts w:ascii="黑体" w:hAnsi="黑体" w:eastAsia="黑体"/>
          <w:b w:val="0"/>
          <w:color w:val="auto"/>
          <w:sz w:val="24"/>
          <w:szCs w:val="24"/>
        </w:rPr>
        <w:fldChar w:fldCharType="end"/>
      </w:r>
    </w:p>
    <w:p>
      <w:pPr>
        <w:pStyle w:val="30"/>
        <w:tabs>
          <w:tab w:val="right" w:leader="dot" w:pos="8720"/>
        </w:tabs>
        <w:rPr>
          <w:rFonts w:ascii="黑体" w:hAnsi="黑体" w:eastAsia="黑体" w:cs="Times New Roman"/>
          <w:b w:val="0"/>
          <w:bCs w:val="0"/>
          <w:color w:val="auto"/>
          <w:sz w:val="24"/>
          <w:szCs w:val="24"/>
        </w:rPr>
      </w:pPr>
      <w:r>
        <w:rPr>
          <w:rStyle w:val="40"/>
          <w:rFonts w:ascii="黑体" w:hAnsi="黑体" w:eastAsia="黑体"/>
          <w:b w:val="0"/>
          <w:color w:val="auto"/>
          <w:sz w:val="24"/>
          <w:szCs w:val="24"/>
        </w:rPr>
        <w:fldChar w:fldCharType="begin"/>
      </w:r>
      <w:r>
        <w:rPr>
          <w:rStyle w:val="40"/>
          <w:rFonts w:ascii="黑体" w:hAnsi="黑体" w:eastAsia="黑体"/>
          <w:b w:val="0"/>
          <w:color w:val="auto"/>
          <w:sz w:val="24"/>
          <w:szCs w:val="24"/>
        </w:rPr>
        <w:instrText xml:space="preserve"> </w:instrText>
      </w:r>
      <w:r>
        <w:rPr>
          <w:rFonts w:ascii="黑体" w:hAnsi="黑体" w:eastAsia="黑体"/>
          <w:b w:val="0"/>
          <w:color w:val="auto"/>
          <w:sz w:val="24"/>
          <w:szCs w:val="24"/>
        </w:rPr>
        <w:instrText xml:space="preserve">HYPERLINK \l "_Toc1569724"</w:instrText>
      </w:r>
      <w:r>
        <w:rPr>
          <w:rStyle w:val="40"/>
          <w:rFonts w:ascii="黑体" w:hAnsi="黑体" w:eastAsia="黑体"/>
          <w:b w:val="0"/>
          <w:color w:val="auto"/>
          <w:sz w:val="24"/>
          <w:szCs w:val="24"/>
        </w:rPr>
        <w:instrText xml:space="preserve"> </w:instrText>
      </w:r>
      <w:r>
        <w:rPr>
          <w:rStyle w:val="40"/>
          <w:rFonts w:ascii="黑体" w:hAnsi="黑体" w:eastAsia="黑体"/>
          <w:b w:val="0"/>
          <w:color w:val="auto"/>
          <w:sz w:val="24"/>
          <w:szCs w:val="24"/>
        </w:rPr>
        <w:fldChar w:fldCharType="separate"/>
      </w:r>
      <w:r>
        <w:rPr>
          <w:rStyle w:val="40"/>
          <w:rFonts w:hint="eastAsia" w:ascii="黑体" w:hAnsi="黑体" w:eastAsia="黑体"/>
          <w:b w:val="0"/>
          <w:color w:val="auto"/>
          <w:sz w:val="24"/>
          <w:szCs w:val="24"/>
        </w:rPr>
        <w:t>（二）强化政策支撑</w:t>
      </w:r>
      <w:r>
        <w:rPr>
          <w:rFonts w:ascii="黑体" w:hAnsi="黑体" w:eastAsia="黑体"/>
          <w:b w:val="0"/>
          <w:color w:val="auto"/>
          <w:sz w:val="24"/>
          <w:szCs w:val="24"/>
        </w:rPr>
        <w:tab/>
      </w:r>
      <w:r>
        <w:rPr>
          <w:rFonts w:ascii="黑体" w:hAnsi="黑体" w:eastAsia="黑体"/>
          <w:b w:val="0"/>
          <w:color w:val="auto"/>
          <w:sz w:val="24"/>
          <w:szCs w:val="24"/>
        </w:rPr>
        <w:fldChar w:fldCharType="begin"/>
      </w:r>
      <w:r>
        <w:rPr>
          <w:rFonts w:ascii="黑体" w:hAnsi="黑体" w:eastAsia="黑体"/>
          <w:b w:val="0"/>
          <w:color w:val="auto"/>
          <w:sz w:val="24"/>
          <w:szCs w:val="24"/>
        </w:rPr>
        <w:instrText xml:space="preserve"> PAGEREF _Toc1569724 \h </w:instrText>
      </w:r>
      <w:r>
        <w:rPr>
          <w:rFonts w:ascii="黑体" w:hAnsi="黑体" w:eastAsia="黑体"/>
          <w:b w:val="0"/>
          <w:color w:val="auto"/>
          <w:sz w:val="24"/>
          <w:szCs w:val="24"/>
        </w:rPr>
        <w:fldChar w:fldCharType="separate"/>
      </w:r>
      <w:r>
        <w:rPr>
          <w:rFonts w:ascii="黑体" w:hAnsi="黑体" w:eastAsia="黑体"/>
          <w:b w:val="0"/>
          <w:color w:val="auto"/>
          <w:sz w:val="24"/>
          <w:szCs w:val="24"/>
        </w:rPr>
        <w:t>17</w:t>
      </w:r>
      <w:r>
        <w:rPr>
          <w:rFonts w:ascii="黑体" w:hAnsi="黑体" w:eastAsia="黑体"/>
          <w:b w:val="0"/>
          <w:color w:val="auto"/>
          <w:sz w:val="24"/>
          <w:szCs w:val="24"/>
        </w:rPr>
        <w:fldChar w:fldCharType="end"/>
      </w:r>
      <w:r>
        <w:rPr>
          <w:rStyle w:val="40"/>
          <w:rFonts w:ascii="黑体" w:hAnsi="黑体" w:eastAsia="黑体"/>
          <w:b w:val="0"/>
          <w:color w:val="auto"/>
          <w:sz w:val="24"/>
          <w:szCs w:val="24"/>
        </w:rPr>
        <w:fldChar w:fldCharType="end"/>
      </w:r>
    </w:p>
    <w:p>
      <w:pPr>
        <w:pStyle w:val="30"/>
        <w:tabs>
          <w:tab w:val="right" w:leader="dot" w:pos="8720"/>
        </w:tabs>
        <w:rPr>
          <w:rFonts w:ascii="黑体" w:hAnsi="黑体" w:eastAsia="黑体" w:cs="Times New Roman"/>
          <w:b w:val="0"/>
          <w:bCs w:val="0"/>
          <w:color w:val="auto"/>
          <w:sz w:val="24"/>
          <w:szCs w:val="24"/>
        </w:rPr>
      </w:pPr>
      <w:r>
        <w:rPr>
          <w:rStyle w:val="40"/>
          <w:rFonts w:ascii="黑体" w:hAnsi="黑体" w:eastAsia="黑体"/>
          <w:b w:val="0"/>
          <w:color w:val="auto"/>
          <w:sz w:val="24"/>
          <w:szCs w:val="24"/>
        </w:rPr>
        <w:fldChar w:fldCharType="begin"/>
      </w:r>
      <w:r>
        <w:rPr>
          <w:rStyle w:val="40"/>
          <w:rFonts w:ascii="黑体" w:hAnsi="黑体" w:eastAsia="黑体"/>
          <w:b w:val="0"/>
          <w:color w:val="auto"/>
          <w:sz w:val="24"/>
          <w:szCs w:val="24"/>
        </w:rPr>
        <w:instrText xml:space="preserve"> </w:instrText>
      </w:r>
      <w:r>
        <w:rPr>
          <w:rFonts w:ascii="黑体" w:hAnsi="黑体" w:eastAsia="黑体"/>
          <w:b w:val="0"/>
          <w:color w:val="auto"/>
          <w:sz w:val="24"/>
          <w:szCs w:val="24"/>
        </w:rPr>
        <w:instrText xml:space="preserve">HYPERLINK \l "_Toc1569725"</w:instrText>
      </w:r>
      <w:r>
        <w:rPr>
          <w:rStyle w:val="40"/>
          <w:rFonts w:ascii="黑体" w:hAnsi="黑体" w:eastAsia="黑体"/>
          <w:b w:val="0"/>
          <w:color w:val="auto"/>
          <w:sz w:val="24"/>
          <w:szCs w:val="24"/>
        </w:rPr>
        <w:instrText xml:space="preserve"> </w:instrText>
      </w:r>
      <w:r>
        <w:rPr>
          <w:rStyle w:val="40"/>
          <w:rFonts w:ascii="黑体" w:hAnsi="黑体" w:eastAsia="黑体"/>
          <w:b w:val="0"/>
          <w:color w:val="auto"/>
          <w:sz w:val="24"/>
          <w:szCs w:val="24"/>
        </w:rPr>
        <w:fldChar w:fldCharType="separate"/>
      </w:r>
      <w:r>
        <w:rPr>
          <w:rStyle w:val="40"/>
          <w:rFonts w:hint="eastAsia" w:ascii="黑体" w:hAnsi="黑体" w:eastAsia="黑体"/>
          <w:b w:val="0"/>
          <w:color w:val="auto"/>
          <w:sz w:val="24"/>
          <w:szCs w:val="24"/>
        </w:rPr>
        <w:t>（三）深化宣传引导</w:t>
      </w:r>
      <w:r>
        <w:rPr>
          <w:rFonts w:ascii="黑体" w:hAnsi="黑体" w:eastAsia="黑体"/>
          <w:b w:val="0"/>
          <w:color w:val="auto"/>
          <w:sz w:val="24"/>
          <w:szCs w:val="24"/>
        </w:rPr>
        <w:tab/>
      </w:r>
      <w:r>
        <w:rPr>
          <w:rFonts w:ascii="黑体" w:hAnsi="黑体" w:eastAsia="黑体"/>
          <w:b w:val="0"/>
          <w:color w:val="auto"/>
          <w:sz w:val="24"/>
          <w:szCs w:val="24"/>
        </w:rPr>
        <w:fldChar w:fldCharType="begin"/>
      </w:r>
      <w:r>
        <w:rPr>
          <w:rFonts w:ascii="黑体" w:hAnsi="黑体" w:eastAsia="黑体"/>
          <w:b w:val="0"/>
          <w:color w:val="auto"/>
          <w:sz w:val="24"/>
          <w:szCs w:val="24"/>
        </w:rPr>
        <w:instrText xml:space="preserve"> PAGEREF _Toc1569725 \h </w:instrText>
      </w:r>
      <w:r>
        <w:rPr>
          <w:rFonts w:ascii="黑体" w:hAnsi="黑体" w:eastAsia="黑体"/>
          <w:b w:val="0"/>
          <w:color w:val="auto"/>
          <w:sz w:val="24"/>
          <w:szCs w:val="24"/>
        </w:rPr>
        <w:fldChar w:fldCharType="separate"/>
      </w:r>
      <w:r>
        <w:rPr>
          <w:rFonts w:ascii="黑体" w:hAnsi="黑体" w:eastAsia="黑体"/>
          <w:b w:val="0"/>
          <w:color w:val="auto"/>
          <w:sz w:val="24"/>
          <w:szCs w:val="24"/>
        </w:rPr>
        <w:t>17</w:t>
      </w:r>
      <w:r>
        <w:rPr>
          <w:rFonts w:ascii="黑体" w:hAnsi="黑体" w:eastAsia="黑体"/>
          <w:b w:val="0"/>
          <w:color w:val="auto"/>
          <w:sz w:val="24"/>
          <w:szCs w:val="24"/>
        </w:rPr>
        <w:fldChar w:fldCharType="end"/>
      </w:r>
      <w:r>
        <w:rPr>
          <w:rStyle w:val="40"/>
          <w:rFonts w:ascii="黑体" w:hAnsi="黑体" w:eastAsia="黑体"/>
          <w:b w:val="0"/>
          <w:color w:val="auto"/>
          <w:sz w:val="24"/>
          <w:szCs w:val="24"/>
        </w:rPr>
        <w:fldChar w:fldCharType="end"/>
      </w:r>
    </w:p>
    <w:p>
      <w:pPr>
        <w:pStyle w:val="30"/>
        <w:tabs>
          <w:tab w:val="right" w:leader="dot" w:pos="8720"/>
        </w:tabs>
        <w:rPr>
          <w:rFonts w:ascii="黑体" w:hAnsi="黑体" w:eastAsia="黑体" w:cs="Times New Roman"/>
          <w:b w:val="0"/>
          <w:bCs w:val="0"/>
          <w:color w:val="auto"/>
          <w:sz w:val="24"/>
          <w:szCs w:val="24"/>
        </w:rPr>
      </w:pPr>
      <w:r>
        <w:rPr>
          <w:rStyle w:val="40"/>
          <w:rFonts w:ascii="黑体" w:hAnsi="黑体" w:eastAsia="黑体"/>
          <w:b w:val="0"/>
          <w:color w:val="auto"/>
          <w:sz w:val="24"/>
          <w:szCs w:val="24"/>
        </w:rPr>
        <w:fldChar w:fldCharType="begin"/>
      </w:r>
      <w:r>
        <w:rPr>
          <w:rStyle w:val="40"/>
          <w:rFonts w:ascii="黑体" w:hAnsi="黑体" w:eastAsia="黑体"/>
          <w:b w:val="0"/>
          <w:color w:val="auto"/>
          <w:sz w:val="24"/>
          <w:szCs w:val="24"/>
        </w:rPr>
        <w:instrText xml:space="preserve"> </w:instrText>
      </w:r>
      <w:r>
        <w:rPr>
          <w:rFonts w:ascii="黑体" w:hAnsi="黑体" w:eastAsia="黑体"/>
          <w:b w:val="0"/>
          <w:color w:val="auto"/>
          <w:sz w:val="24"/>
          <w:szCs w:val="24"/>
        </w:rPr>
        <w:instrText xml:space="preserve">HYPERLINK \l "_Toc1569726"</w:instrText>
      </w:r>
      <w:r>
        <w:rPr>
          <w:rStyle w:val="40"/>
          <w:rFonts w:ascii="黑体" w:hAnsi="黑体" w:eastAsia="黑体"/>
          <w:b w:val="0"/>
          <w:color w:val="auto"/>
          <w:sz w:val="24"/>
          <w:szCs w:val="24"/>
        </w:rPr>
        <w:instrText xml:space="preserve"> </w:instrText>
      </w:r>
      <w:r>
        <w:rPr>
          <w:rStyle w:val="40"/>
          <w:rFonts w:ascii="黑体" w:hAnsi="黑体" w:eastAsia="黑体"/>
          <w:b w:val="0"/>
          <w:color w:val="auto"/>
          <w:sz w:val="24"/>
          <w:szCs w:val="24"/>
        </w:rPr>
        <w:fldChar w:fldCharType="separate"/>
      </w:r>
      <w:r>
        <w:rPr>
          <w:rStyle w:val="40"/>
          <w:rFonts w:hint="eastAsia" w:ascii="黑体" w:hAnsi="黑体" w:eastAsia="黑体"/>
          <w:b w:val="0"/>
          <w:color w:val="auto"/>
          <w:sz w:val="24"/>
          <w:szCs w:val="24"/>
        </w:rPr>
        <w:t>（四）强化监督管理</w:t>
      </w:r>
      <w:r>
        <w:rPr>
          <w:rFonts w:ascii="黑体" w:hAnsi="黑体" w:eastAsia="黑体"/>
          <w:b w:val="0"/>
          <w:color w:val="auto"/>
          <w:sz w:val="24"/>
          <w:szCs w:val="24"/>
        </w:rPr>
        <w:tab/>
      </w:r>
      <w:r>
        <w:rPr>
          <w:rFonts w:ascii="黑体" w:hAnsi="黑体" w:eastAsia="黑体"/>
          <w:b w:val="0"/>
          <w:color w:val="auto"/>
          <w:sz w:val="24"/>
          <w:szCs w:val="24"/>
        </w:rPr>
        <w:fldChar w:fldCharType="begin"/>
      </w:r>
      <w:r>
        <w:rPr>
          <w:rFonts w:ascii="黑体" w:hAnsi="黑体" w:eastAsia="黑体"/>
          <w:b w:val="0"/>
          <w:color w:val="auto"/>
          <w:sz w:val="24"/>
          <w:szCs w:val="24"/>
        </w:rPr>
        <w:instrText xml:space="preserve"> PAGEREF _Toc1569726 \h </w:instrText>
      </w:r>
      <w:r>
        <w:rPr>
          <w:rFonts w:ascii="黑体" w:hAnsi="黑体" w:eastAsia="黑体"/>
          <w:b w:val="0"/>
          <w:color w:val="auto"/>
          <w:sz w:val="24"/>
          <w:szCs w:val="24"/>
        </w:rPr>
        <w:fldChar w:fldCharType="separate"/>
      </w:r>
      <w:r>
        <w:rPr>
          <w:rFonts w:ascii="黑体" w:hAnsi="黑体" w:eastAsia="黑体"/>
          <w:b w:val="0"/>
          <w:color w:val="auto"/>
          <w:sz w:val="24"/>
          <w:szCs w:val="24"/>
        </w:rPr>
        <w:t>18</w:t>
      </w:r>
      <w:r>
        <w:rPr>
          <w:rFonts w:ascii="黑体" w:hAnsi="黑体" w:eastAsia="黑体"/>
          <w:b w:val="0"/>
          <w:color w:val="auto"/>
          <w:sz w:val="24"/>
          <w:szCs w:val="24"/>
        </w:rPr>
        <w:fldChar w:fldCharType="end"/>
      </w:r>
      <w:r>
        <w:rPr>
          <w:rStyle w:val="40"/>
          <w:rFonts w:ascii="黑体" w:hAnsi="黑体" w:eastAsia="黑体"/>
          <w:b w:val="0"/>
          <w:color w:val="auto"/>
          <w:sz w:val="24"/>
          <w:szCs w:val="24"/>
        </w:rPr>
        <w:fldChar w:fldCharType="end"/>
      </w:r>
    </w:p>
    <w:p>
      <w:pPr>
        <w:pStyle w:val="24"/>
        <w:tabs>
          <w:tab w:val="right" w:leader="dot" w:pos="8720"/>
        </w:tabs>
        <w:rPr>
          <w:rFonts w:ascii="黑体" w:hAnsi="黑体" w:eastAsia="黑体" w:cs="Times New Roman"/>
          <w:b w:val="0"/>
          <w:bCs w:val="0"/>
          <w:i w:val="0"/>
          <w:iCs w:val="0"/>
          <w:color w:val="auto"/>
        </w:rPr>
      </w:pPr>
      <w:r>
        <w:rPr>
          <w:rStyle w:val="40"/>
          <w:rFonts w:ascii="黑体" w:hAnsi="黑体" w:eastAsia="黑体"/>
          <w:b w:val="0"/>
          <w:i w:val="0"/>
          <w:color w:val="auto"/>
        </w:rPr>
        <w:fldChar w:fldCharType="begin"/>
      </w:r>
      <w:r>
        <w:rPr>
          <w:rStyle w:val="40"/>
          <w:rFonts w:ascii="黑体" w:hAnsi="黑体" w:eastAsia="黑体"/>
          <w:b w:val="0"/>
          <w:i w:val="0"/>
          <w:color w:val="auto"/>
        </w:rPr>
        <w:instrText xml:space="preserve"> </w:instrText>
      </w:r>
      <w:r>
        <w:rPr>
          <w:rFonts w:ascii="黑体" w:hAnsi="黑体" w:eastAsia="黑体"/>
          <w:b w:val="0"/>
          <w:i w:val="0"/>
          <w:color w:val="auto"/>
        </w:rPr>
        <w:instrText xml:space="preserve">HYPERLINK \l "_Toc1569727"</w:instrText>
      </w:r>
      <w:r>
        <w:rPr>
          <w:rStyle w:val="40"/>
          <w:rFonts w:ascii="黑体" w:hAnsi="黑体" w:eastAsia="黑体"/>
          <w:b w:val="0"/>
          <w:i w:val="0"/>
          <w:color w:val="auto"/>
        </w:rPr>
        <w:instrText xml:space="preserve"> </w:instrText>
      </w:r>
      <w:r>
        <w:rPr>
          <w:rStyle w:val="40"/>
          <w:rFonts w:ascii="黑体" w:hAnsi="黑体" w:eastAsia="黑体"/>
          <w:b w:val="0"/>
          <w:i w:val="0"/>
          <w:color w:val="auto"/>
        </w:rPr>
        <w:fldChar w:fldCharType="separate"/>
      </w:r>
      <w:r>
        <w:rPr>
          <w:rStyle w:val="40"/>
          <w:rFonts w:hint="eastAsia" w:ascii="黑体" w:hAnsi="黑体" w:eastAsia="黑体"/>
          <w:b w:val="0"/>
          <w:i w:val="0"/>
          <w:color w:val="auto"/>
        </w:rPr>
        <w:t>七、规划实施</w:t>
      </w:r>
      <w:r>
        <w:rPr>
          <w:rFonts w:ascii="黑体" w:hAnsi="黑体" w:eastAsia="黑体"/>
          <w:b w:val="0"/>
          <w:i w:val="0"/>
          <w:color w:val="auto"/>
        </w:rPr>
        <w:tab/>
      </w:r>
      <w:r>
        <w:rPr>
          <w:rFonts w:ascii="黑体" w:hAnsi="黑体" w:eastAsia="黑体"/>
          <w:b w:val="0"/>
          <w:i w:val="0"/>
          <w:color w:val="auto"/>
        </w:rPr>
        <w:fldChar w:fldCharType="begin"/>
      </w:r>
      <w:r>
        <w:rPr>
          <w:rFonts w:ascii="黑体" w:hAnsi="黑体" w:eastAsia="黑体"/>
          <w:b w:val="0"/>
          <w:i w:val="0"/>
          <w:color w:val="auto"/>
        </w:rPr>
        <w:instrText xml:space="preserve"> PAGEREF _Toc1569727 \h </w:instrText>
      </w:r>
      <w:r>
        <w:rPr>
          <w:rFonts w:ascii="黑体" w:hAnsi="黑体" w:eastAsia="黑体"/>
          <w:b w:val="0"/>
          <w:i w:val="0"/>
          <w:color w:val="auto"/>
        </w:rPr>
        <w:fldChar w:fldCharType="separate"/>
      </w:r>
      <w:r>
        <w:rPr>
          <w:rFonts w:ascii="黑体" w:hAnsi="黑体" w:eastAsia="黑体"/>
          <w:b w:val="0"/>
          <w:i w:val="0"/>
          <w:color w:val="auto"/>
        </w:rPr>
        <w:t>18</w:t>
      </w:r>
      <w:r>
        <w:rPr>
          <w:rFonts w:ascii="黑体" w:hAnsi="黑体" w:eastAsia="黑体"/>
          <w:b w:val="0"/>
          <w:i w:val="0"/>
          <w:color w:val="auto"/>
        </w:rPr>
        <w:fldChar w:fldCharType="end"/>
      </w:r>
      <w:r>
        <w:rPr>
          <w:rStyle w:val="40"/>
          <w:rFonts w:ascii="黑体" w:hAnsi="黑体" w:eastAsia="黑体"/>
          <w:b w:val="0"/>
          <w:i w:val="0"/>
          <w:color w:val="auto"/>
        </w:rPr>
        <w:fldChar w:fldCharType="end"/>
      </w:r>
    </w:p>
    <w:p>
      <w:pPr>
        <w:pStyle w:val="24"/>
        <w:tabs>
          <w:tab w:val="right" w:leader="dot" w:pos="8720"/>
        </w:tabs>
        <w:rPr>
          <w:rFonts w:ascii="黑体" w:hAnsi="黑体" w:eastAsia="黑体" w:cs="Times New Roman"/>
          <w:b w:val="0"/>
          <w:bCs w:val="0"/>
          <w:i w:val="0"/>
          <w:iCs w:val="0"/>
          <w:color w:val="auto"/>
        </w:rPr>
      </w:pPr>
      <w:r>
        <w:rPr>
          <w:rStyle w:val="40"/>
          <w:rFonts w:ascii="黑体" w:hAnsi="黑体" w:eastAsia="黑体"/>
          <w:b w:val="0"/>
          <w:i w:val="0"/>
          <w:color w:val="auto"/>
        </w:rPr>
        <w:fldChar w:fldCharType="begin"/>
      </w:r>
      <w:r>
        <w:rPr>
          <w:rStyle w:val="40"/>
          <w:rFonts w:ascii="黑体" w:hAnsi="黑体" w:eastAsia="黑体"/>
          <w:b w:val="0"/>
          <w:i w:val="0"/>
          <w:color w:val="auto"/>
        </w:rPr>
        <w:instrText xml:space="preserve"> </w:instrText>
      </w:r>
      <w:r>
        <w:rPr>
          <w:rFonts w:ascii="黑体" w:hAnsi="黑体" w:eastAsia="黑体"/>
          <w:b w:val="0"/>
          <w:i w:val="0"/>
          <w:color w:val="auto"/>
        </w:rPr>
        <w:instrText xml:space="preserve">HYPERLINK \l "_Toc1569728"</w:instrText>
      </w:r>
      <w:r>
        <w:rPr>
          <w:rStyle w:val="40"/>
          <w:rFonts w:ascii="黑体" w:hAnsi="黑体" w:eastAsia="黑体"/>
          <w:b w:val="0"/>
          <w:i w:val="0"/>
          <w:color w:val="auto"/>
        </w:rPr>
        <w:instrText xml:space="preserve"> </w:instrText>
      </w:r>
      <w:r>
        <w:rPr>
          <w:rStyle w:val="40"/>
          <w:rFonts w:ascii="黑体" w:hAnsi="黑体" w:eastAsia="黑体"/>
          <w:b w:val="0"/>
          <w:i w:val="0"/>
          <w:color w:val="auto"/>
        </w:rPr>
        <w:fldChar w:fldCharType="separate"/>
      </w:r>
      <w:r>
        <w:rPr>
          <w:rStyle w:val="40"/>
          <w:rFonts w:hint="eastAsia" w:ascii="黑体" w:hAnsi="黑体" w:eastAsia="黑体"/>
          <w:b w:val="0"/>
          <w:i w:val="0"/>
          <w:color w:val="auto"/>
        </w:rPr>
        <w:t>附表</w:t>
      </w:r>
      <w:r>
        <w:rPr>
          <w:rStyle w:val="40"/>
          <w:rFonts w:ascii="黑体" w:hAnsi="黑体" w:eastAsia="黑体"/>
          <w:b w:val="0"/>
          <w:i w:val="0"/>
          <w:color w:val="auto"/>
        </w:rPr>
        <w:t xml:space="preserve">1   </w:t>
      </w:r>
      <w:r>
        <w:rPr>
          <w:rStyle w:val="40"/>
          <w:rFonts w:hint="eastAsia" w:ascii="黑体" w:hAnsi="黑体" w:eastAsia="黑体"/>
          <w:b w:val="0"/>
          <w:i w:val="0"/>
          <w:color w:val="auto"/>
        </w:rPr>
        <w:t>四川省生活垃圾焚烧发电已建成投运项目表</w:t>
      </w:r>
      <w:r>
        <w:rPr>
          <w:rFonts w:ascii="黑体" w:hAnsi="黑体" w:eastAsia="黑体"/>
          <w:b w:val="0"/>
          <w:i w:val="0"/>
          <w:color w:val="auto"/>
        </w:rPr>
        <w:tab/>
      </w:r>
      <w:r>
        <w:rPr>
          <w:rFonts w:ascii="黑体" w:hAnsi="黑体" w:eastAsia="黑体"/>
          <w:b w:val="0"/>
          <w:i w:val="0"/>
          <w:color w:val="auto"/>
        </w:rPr>
        <w:fldChar w:fldCharType="begin"/>
      </w:r>
      <w:r>
        <w:rPr>
          <w:rFonts w:ascii="黑体" w:hAnsi="黑体" w:eastAsia="黑体"/>
          <w:b w:val="0"/>
          <w:i w:val="0"/>
          <w:color w:val="auto"/>
        </w:rPr>
        <w:instrText xml:space="preserve"> PAGEREF _Toc1569728 \h </w:instrText>
      </w:r>
      <w:r>
        <w:rPr>
          <w:rFonts w:ascii="黑体" w:hAnsi="黑体" w:eastAsia="黑体"/>
          <w:b w:val="0"/>
          <w:i w:val="0"/>
          <w:color w:val="auto"/>
        </w:rPr>
        <w:fldChar w:fldCharType="separate"/>
      </w:r>
      <w:r>
        <w:rPr>
          <w:rFonts w:ascii="黑体" w:hAnsi="黑体" w:eastAsia="黑体"/>
          <w:b w:val="0"/>
          <w:i w:val="0"/>
          <w:color w:val="auto"/>
        </w:rPr>
        <w:t>20</w:t>
      </w:r>
      <w:r>
        <w:rPr>
          <w:rFonts w:ascii="黑体" w:hAnsi="黑体" w:eastAsia="黑体"/>
          <w:b w:val="0"/>
          <w:i w:val="0"/>
          <w:color w:val="auto"/>
        </w:rPr>
        <w:fldChar w:fldCharType="end"/>
      </w:r>
      <w:r>
        <w:rPr>
          <w:rStyle w:val="40"/>
          <w:rFonts w:ascii="黑体" w:hAnsi="黑体" w:eastAsia="黑体"/>
          <w:b w:val="0"/>
          <w:i w:val="0"/>
          <w:color w:val="auto"/>
        </w:rPr>
        <w:fldChar w:fldCharType="end"/>
      </w:r>
    </w:p>
    <w:p>
      <w:pPr>
        <w:pStyle w:val="24"/>
        <w:tabs>
          <w:tab w:val="right" w:leader="dot" w:pos="8720"/>
        </w:tabs>
        <w:rPr>
          <w:rFonts w:ascii="黑体" w:hAnsi="黑体" w:eastAsia="黑体" w:cs="Times New Roman"/>
          <w:b w:val="0"/>
          <w:bCs w:val="0"/>
          <w:i w:val="0"/>
          <w:iCs w:val="0"/>
          <w:color w:val="auto"/>
        </w:rPr>
      </w:pPr>
      <w:r>
        <w:rPr>
          <w:rStyle w:val="40"/>
          <w:rFonts w:ascii="黑体" w:hAnsi="黑体" w:eastAsia="黑体"/>
          <w:b w:val="0"/>
          <w:i w:val="0"/>
          <w:color w:val="auto"/>
        </w:rPr>
        <w:fldChar w:fldCharType="begin"/>
      </w:r>
      <w:r>
        <w:rPr>
          <w:rStyle w:val="40"/>
          <w:rFonts w:ascii="黑体" w:hAnsi="黑体" w:eastAsia="黑体"/>
          <w:b w:val="0"/>
          <w:i w:val="0"/>
          <w:color w:val="auto"/>
        </w:rPr>
        <w:instrText xml:space="preserve"> </w:instrText>
      </w:r>
      <w:r>
        <w:rPr>
          <w:rFonts w:ascii="黑体" w:hAnsi="黑体" w:eastAsia="黑体"/>
          <w:b w:val="0"/>
          <w:i w:val="0"/>
          <w:color w:val="auto"/>
        </w:rPr>
        <w:instrText xml:space="preserve">HYPERLINK \l "_Toc1569729"</w:instrText>
      </w:r>
      <w:r>
        <w:rPr>
          <w:rStyle w:val="40"/>
          <w:rFonts w:ascii="黑体" w:hAnsi="黑体" w:eastAsia="黑体"/>
          <w:b w:val="0"/>
          <w:i w:val="0"/>
          <w:color w:val="auto"/>
        </w:rPr>
        <w:instrText xml:space="preserve"> </w:instrText>
      </w:r>
      <w:r>
        <w:rPr>
          <w:rStyle w:val="40"/>
          <w:rFonts w:ascii="黑体" w:hAnsi="黑体" w:eastAsia="黑体"/>
          <w:b w:val="0"/>
          <w:i w:val="0"/>
          <w:color w:val="auto"/>
        </w:rPr>
        <w:fldChar w:fldCharType="separate"/>
      </w:r>
      <w:r>
        <w:rPr>
          <w:rStyle w:val="40"/>
          <w:rFonts w:hint="eastAsia" w:ascii="黑体" w:hAnsi="黑体" w:eastAsia="黑体"/>
          <w:b w:val="0"/>
          <w:i w:val="0"/>
          <w:color w:val="auto"/>
        </w:rPr>
        <w:t>附表</w:t>
      </w:r>
      <w:r>
        <w:rPr>
          <w:rStyle w:val="40"/>
          <w:rFonts w:ascii="黑体" w:hAnsi="黑体" w:eastAsia="黑体"/>
          <w:b w:val="0"/>
          <w:i w:val="0"/>
          <w:color w:val="auto"/>
        </w:rPr>
        <w:t xml:space="preserve">2  </w:t>
      </w:r>
      <w:r>
        <w:rPr>
          <w:rStyle w:val="40"/>
          <w:rFonts w:hint="eastAsia" w:ascii="黑体" w:hAnsi="黑体" w:eastAsia="黑体"/>
          <w:b w:val="0"/>
          <w:i w:val="0"/>
          <w:color w:val="auto"/>
        </w:rPr>
        <w:t>四川省生活垃圾焚烧发电拟建项目表（</w:t>
      </w:r>
      <w:r>
        <w:rPr>
          <w:rStyle w:val="40"/>
          <w:rFonts w:ascii="黑体" w:hAnsi="黑体" w:eastAsia="黑体"/>
          <w:b w:val="0"/>
          <w:i w:val="0"/>
          <w:color w:val="auto"/>
        </w:rPr>
        <w:t>2018—2020</w:t>
      </w:r>
      <w:r>
        <w:rPr>
          <w:rStyle w:val="40"/>
          <w:rFonts w:hint="eastAsia" w:ascii="黑体" w:hAnsi="黑体" w:eastAsia="黑体"/>
          <w:b w:val="0"/>
          <w:i w:val="0"/>
          <w:color w:val="auto"/>
        </w:rPr>
        <w:t>年）</w:t>
      </w:r>
      <w:r>
        <w:rPr>
          <w:rFonts w:ascii="黑体" w:hAnsi="黑体" w:eastAsia="黑体"/>
          <w:b w:val="0"/>
          <w:i w:val="0"/>
          <w:color w:val="auto"/>
        </w:rPr>
        <w:tab/>
      </w:r>
      <w:r>
        <w:rPr>
          <w:rFonts w:ascii="黑体" w:hAnsi="黑体" w:eastAsia="黑体"/>
          <w:b w:val="0"/>
          <w:i w:val="0"/>
          <w:color w:val="auto"/>
        </w:rPr>
        <w:fldChar w:fldCharType="begin"/>
      </w:r>
      <w:r>
        <w:rPr>
          <w:rFonts w:ascii="黑体" w:hAnsi="黑体" w:eastAsia="黑体"/>
          <w:b w:val="0"/>
          <w:i w:val="0"/>
          <w:color w:val="auto"/>
        </w:rPr>
        <w:instrText xml:space="preserve"> PAGEREF _Toc1569729 \h </w:instrText>
      </w:r>
      <w:r>
        <w:rPr>
          <w:rFonts w:ascii="黑体" w:hAnsi="黑体" w:eastAsia="黑体"/>
          <w:b w:val="0"/>
          <w:i w:val="0"/>
          <w:color w:val="auto"/>
        </w:rPr>
        <w:fldChar w:fldCharType="separate"/>
      </w:r>
      <w:r>
        <w:rPr>
          <w:rFonts w:ascii="黑体" w:hAnsi="黑体" w:eastAsia="黑体"/>
          <w:b w:val="0"/>
          <w:i w:val="0"/>
          <w:color w:val="auto"/>
        </w:rPr>
        <w:t>20</w:t>
      </w:r>
      <w:r>
        <w:rPr>
          <w:rFonts w:ascii="黑体" w:hAnsi="黑体" w:eastAsia="黑体"/>
          <w:b w:val="0"/>
          <w:i w:val="0"/>
          <w:color w:val="auto"/>
        </w:rPr>
        <w:fldChar w:fldCharType="end"/>
      </w:r>
      <w:r>
        <w:rPr>
          <w:rStyle w:val="40"/>
          <w:rFonts w:ascii="黑体" w:hAnsi="黑体" w:eastAsia="黑体"/>
          <w:b w:val="0"/>
          <w:i w:val="0"/>
          <w:color w:val="auto"/>
        </w:rPr>
        <w:fldChar w:fldCharType="end"/>
      </w:r>
    </w:p>
    <w:p>
      <w:pPr>
        <w:pStyle w:val="24"/>
        <w:tabs>
          <w:tab w:val="right" w:leader="dot" w:pos="8720"/>
        </w:tabs>
        <w:rPr>
          <w:rFonts w:cs="Times New Roman"/>
          <w:b w:val="0"/>
          <w:bCs w:val="0"/>
          <w:i w:val="0"/>
          <w:iCs w:val="0"/>
          <w:color w:val="auto"/>
          <w:sz w:val="21"/>
          <w:szCs w:val="22"/>
        </w:rPr>
      </w:pPr>
      <w:r>
        <w:rPr>
          <w:rStyle w:val="40"/>
          <w:rFonts w:ascii="黑体" w:hAnsi="黑体" w:eastAsia="黑体"/>
          <w:b w:val="0"/>
          <w:i w:val="0"/>
          <w:color w:val="auto"/>
        </w:rPr>
        <w:fldChar w:fldCharType="begin"/>
      </w:r>
      <w:r>
        <w:rPr>
          <w:rStyle w:val="40"/>
          <w:rFonts w:ascii="黑体" w:hAnsi="黑体" w:eastAsia="黑体"/>
          <w:b w:val="0"/>
          <w:i w:val="0"/>
          <w:color w:val="auto"/>
        </w:rPr>
        <w:instrText xml:space="preserve"> </w:instrText>
      </w:r>
      <w:r>
        <w:rPr>
          <w:rFonts w:ascii="黑体" w:hAnsi="黑体" w:eastAsia="黑体"/>
          <w:b w:val="0"/>
          <w:i w:val="0"/>
          <w:color w:val="auto"/>
        </w:rPr>
        <w:instrText xml:space="preserve">HYPERLINK \l "_Toc1569730"</w:instrText>
      </w:r>
      <w:r>
        <w:rPr>
          <w:rStyle w:val="40"/>
          <w:rFonts w:ascii="黑体" w:hAnsi="黑体" w:eastAsia="黑体"/>
          <w:b w:val="0"/>
          <w:i w:val="0"/>
          <w:color w:val="auto"/>
        </w:rPr>
        <w:instrText xml:space="preserve"> </w:instrText>
      </w:r>
      <w:r>
        <w:rPr>
          <w:rStyle w:val="40"/>
          <w:rFonts w:ascii="黑体" w:hAnsi="黑体" w:eastAsia="黑体"/>
          <w:b w:val="0"/>
          <w:i w:val="0"/>
          <w:color w:val="auto"/>
        </w:rPr>
        <w:fldChar w:fldCharType="separate"/>
      </w:r>
      <w:r>
        <w:rPr>
          <w:rStyle w:val="40"/>
          <w:rFonts w:hint="eastAsia" w:ascii="黑体" w:hAnsi="黑体" w:eastAsia="黑体"/>
          <w:b w:val="0"/>
          <w:i w:val="0"/>
          <w:color w:val="auto"/>
        </w:rPr>
        <w:t>附表</w:t>
      </w:r>
      <w:r>
        <w:rPr>
          <w:rStyle w:val="40"/>
          <w:rFonts w:ascii="黑体" w:hAnsi="黑体" w:eastAsia="黑体"/>
          <w:b w:val="0"/>
          <w:i w:val="0"/>
          <w:color w:val="auto"/>
        </w:rPr>
        <w:t xml:space="preserve">3  </w:t>
      </w:r>
      <w:r>
        <w:rPr>
          <w:rStyle w:val="40"/>
          <w:rFonts w:hint="eastAsia" w:ascii="黑体" w:hAnsi="黑体" w:eastAsia="黑体"/>
          <w:b w:val="0"/>
          <w:i w:val="0"/>
          <w:color w:val="auto"/>
        </w:rPr>
        <w:t>四川省生活垃圾焚烧发电拟建项目表（</w:t>
      </w:r>
      <w:r>
        <w:rPr>
          <w:rStyle w:val="40"/>
          <w:rFonts w:ascii="黑体" w:hAnsi="黑体" w:eastAsia="黑体"/>
          <w:b w:val="0"/>
          <w:i w:val="0"/>
          <w:color w:val="auto"/>
        </w:rPr>
        <w:t>2021—2030</w:t>
      </w:r>
      <w:r>
        <w:rPr>
          <w:rStyle w:val="40"/>
          <w:rFonts w:hint="eastAsia" w:ascii="黑体" w:hAnsi="黑体" w:eastAsia="黑体"/>
          <w:b w:val="0"/>
          <w:i w:val="0"/>
          <w:color w:val="auto"/>
        </w:rPr>
        <w:t>年）</w:t>
      </w:r>
      <w:r>
        <w:rPr>
          <w:rFonts w:ascii="黑体" w:hAnsi="黑体" w:eastAsia="黑体"/>
          <w:b w:val="0"/>
          <w:i w:val="0"/>
          <w:color w:val="auto"/>
        </w:rPr>
        <w:tab/>
      </w:r>
      <w:r>
        <w:rPr>
          <w:rFonts w:ascii="黑体" w:hAnsi="黑体" w:eastAsia="黑体"/>
          <w:b w:val="0"/>
          <w:i w:val="0"/>
          <w:color w:val="auto"/>
        </w:rPr>
        <w:fldChar w:fldCharType="begin"/>
      </w:r>
      <w:r>
        <w:rPr>
          <w:rFonts w:ascii="黑体" w:hAnsi="黑体" w:eastAsia="黑体"/>
          <w:b w:val="0"/>
          <w:i w:val="0"/>
          <w:color w:val="auto"/>
        </w:rPr>
        <w:instrText xml:space="preserve"> PAGEREF _Toc1569730 \h </w:instrText>
      </w:r>
      <w:r>
        <w:rPr>
          <w:rFonts w:ascii="黑体" w:hAnsi="黑体" w:eastAsia="黑体"/>
          <w:b w:val="0"/>
          <w:i w:val="0"/>
          <w:color w:val="auto"/>
        </w:rPr>
        <w:fldChar w:fldCharType="separate"/>
      </w:r>
      <w:r>
        <w:rPr>
          <w:rFonts w:ascii="黑体" w:hAnsi="黑体" w:eastAsia="黑体"/>
          <w:b w:val="0"/>
          <w:i w:val="0"/>
          <w:color w:val="auto"/>
        </w:rPr>
        <w:t>20</w:t>
      </w:r>
      <w:r>
        <w:rPr>
          <w:rFonts w:ascii="黑体" w:hAnsi="黑体" w:eastAsia="黑体"/>
          <w:b w:val="0"/>
          <w:i w:val="0"/>
          <w:color w:val="auto"/>
        </w:rPr>
        <w:fldChar w:fldCharType="end"/>
      </w:r>
      <w:r>
        <w:rPr>
          <w:rStyle w:val="40"/>
          <w:rFonts w:ascii="黑体" w:hAnsi="黑体" w:eastAsia="黑体"/>
          <w:b w:val="0"/>
          <w:i w:val="0"/>
          <w:color w:val="auto"/>
        </w:rPr>
        <w:fldChar w:fldCharType="end"/>
      </w:r>
    </w:p>
    <w:p>
      <w:pPr>
        <w:pStyle w:val="2"/>
        <w:spacing w:before="0" w:after="0" w:line="300" w:lineRule="exact"/>
        <w:jc w:val="center"/>
        <w:rPr>
          <w:b w:val="0"/>
          <w:bCs/>
          <w:color w:val="auto"/>
          <w:lang w:val="zh-CN"/>
        </w:rPr>
      </w:pPr>
      <w:r>
        <w:rPr>
          <w:rFonts w:eastAsia="黑体"/>
          <w:b w:val="0"/>
          <w:bCs/>
          <w:iCs/>
          <w:color w:val="auto"/>
          <w:sz w:val="24"/>
          <w:szCs w:val="24"/>
          <w:lang w:val="zh-CN"/>
        </w:rPr>
        <w:fldChar w:fldCharType="end"/>
      </w:r>
      <w:bookmarkStart w:id="0" w:name="_Toc5578"/>
      <w:r>
        <w:rPr>
          <w:b w:val="0"/>
          <w:bCs/>
          <w:color w:val="auto"/>
          <w:lang w:val="zh-CN"/>
        </w:rPr>
        <w:br w:type="page"/>
      </w:r>
      <w:bookmarkEnd w:id="0"/>
      <w:bookmarkStart w:id="1" w:name="_Toc194129536"/>
      <w:bookmarkStart w:id="2" w:name="_Toc330428872"/>
      <w:bookmarkStart w:id="3" w:name="_Toc350692781"/>
      <w:bookmarkStart w:id="4" w:name="_Toc184102442"/>
      <w:bookmarkStart w:id="5" w:name="_Toc343262107"/>
    </w:p>
    <w:p>
      <w:pPr>
        <w:rPr>
          <w:b/>
          <w:bCs/>
          <w:color w:val="auto"/>
          <w:lang w:val="zh-CN"/>
        </w:rPr>
      </w:pPr>
    </w:p>
    <w:p>
      <w:pPr>
        <w:pStyle w:val="2"/>
        <w:spacing w:before="0" w:after="0" w:line="580" w:lineRule="exact"/>
        <w:jc w:val="center"/>
        <w:rPr>
          <w:rFonts w:eastAsia="黑体"/>
          <w:color w:val="auto"/>
          <w:sz w:val="32"/>
          <w:szCs w:val="32"/>
        </w:rPr>
      </w:pPr>
      <w:bookmarkStart w:id="6" w:name="_Toc1569704"/>
      <w:r>
        <w:rPr>
          <w:rFonts w:eastAsia="黑体"/>
          <w:b w:val="0"/>
          <w:bCs/>
          <w:color w:val="auto"/>
          <w:sz w:val="32"/>
          <w:szCs w:val="32"/>
        </w:rPr>
        <w:t>前   言</w:t>
      </w:r>
      <w:bookmarkEnd w:id="1"/>
      <w:bookmarkEnd w:id="2"/>
      <w:bookmarkEnd w:id="3"/>
      <w:bookmarkEnd w:id="4"/>
      <w:bookmarkEnd w:id="5"/>
      <w:bookmarkEnd w:id="6"/>
    </w:p>
    <w:p>
      <w:pPr>
        <w:spacing w:line="580" w:lineRule="exact"/>
        <w:ind w:firstLine="4408"/>
        <w:rPr>
          <w:color w:val="auto"/>
        </w:rPr>
      </w:pPr>
    </w:p>
    <w:p>
      <w:pPr>
        <w:spacing w:line="580" w:lineRule="exact"/>
        <w:ind w:firstLine="640" w:firstLineChars="200"/>
        <w:rPr>
          <w:rFonts w:hint="eastAsia"/>
          <w:color w:val="auto"/>
          <w:szCs w:val="32"/>
        </w:rPr>
      </w:pPr>
      <w:r>
        <w:rPr>
          <w:color w:val="auto"/>
          <w:szCs w:val="32"/>
        </w:rPr>
        <w:t>为深入贯彻党的十九大精神，全面落实省第十一次党代会、省委十一届三次</w:t>
      </w:r>
      <w:r>
        <w:rPr>
          <w:rFonts w:hint="eastAsia"/>
          <w:color w:val="auto"/>
          <w:szCs w:val="32"/>
          <w:lang w:eastAsia="zh-CN"/>
        </w:rPr>
        <w:t>、四次</w:t>
      </w:r>
      <w:r>
        <w:rPr>
          <w:color w:val="auto"/>
          <w:szCs w:val="32"/>
        </w:rPr>
        <w:t>全会关于解决生态环境突出问题、推进生产生活方式绿色化的决策部署，全面提高我省城镇生活垃圾资源化利用水平和无害化处理能力，减轻日益严重的环境污染，加快改善城乡环境质量，根据《“十三五”全国城镇生活垃圾无害化处理</w:t>
      </w:r>
      <w:r>
        <w:rPr>
          <w:rFonts w:hint="eastAsia"/>
          <w:color w:val="auto"/>
          <w:szCs w:val="32"/>
          <w:lang w:eastAsia="zh-CN"/>
        </w:rPr>
        <w:t>设</w:t>
      </w:r>
      <w:r>
        <w:rPr>
          <w:color w:val="auto"/>
          <w:szCs w:val="32"/>
        </w:rPr>
        <w:t>施建设规划》（发改办环资〔2016〕2851号）、《国家发展改革委、住房城乡建设部、国家能源局、环境保护部、国土资源部关于进一步做好生活垃圾焚烧发电厂规划选址工作的通知》（发改环资规〔2017〕2166号），省发展改革委会</w:t>
      </w:r>
      <w:r>
        <w:rPr>
          <w:rFonts w:hint="eastAsia"/>
          <w:color w:val="auto"/>
          <w:szCs w:val="32"/>
          <w:lang w:eastAsia="zh-CN"/>
        </w:rPr>
        <w:t>商</w:t>
      </w:r>
      <w:r>
        <w:rPr>
          <w:color w:val="auto"/>
          <w:szCs w:val="32"/>
        </w:rPr>
        <w:t>住房城乡建设厅、</w:t>
      </w:r>
      <w:r>
        <w:rPr>
          <w:rFonts w:hint="eastAsia"/>
          <w:color w:val="auto"/>
          <w:szCs w:val="32"/>
        </w:rPr>
        <w:t>经济</w:t>
      </w:r>
      <w:r>
        <w:rPr>
          <w:color w:val="auto"/>
          <w:szCs w:val="32"/>
        </w:rPr>
        <w:t>和信息化厅、</w:t>
      </w:r>
      <w:r>
        <w:rPr>
          <w:rFonts w:hint="eastAsia"/>
          <w:color w:val="auto"/>
          <w:szCs w:val="32"/>
        </w:rPr>
        <w:t>生态</w:t>
      </w:r>
      <w:r>
        <w:rPr>
          <w:color w:val="auto"/>
          <w:szCs w:val="32"/>
        </w:rPr>
        <w:t>环境厅、</w:t>
      </w:r>
      <w:r>
        <w:rPr>
          <w:rFonts w:hint="eastAsia"/>
          <w:color w:val="auto"/>
          <w:szCs w:val="32"/>
        </w:rPr>
        <w:t>自然</w:t>
      </w:r>
      <w:r>
        <w:rPr>
          <w:color w:val="auto"/>
          <w:szCs w:val="32"/>
        </w:rPr>
        <w:t>资源厅、省能源局等部门编制了《四川省生活垃圾焚烧发电</w:t>
      </w:r>
      <w:r>
        <w:rPr>
          <w:rFonts w:hint="eastAsia"/>
          <w:color w:val="auto"/>
          <w:szCs w:val="32"/>
        </w:rPr>
        <w:t>中长期</w:t>
      </w:r>
      <w:r>
        <w:rPr>
          <w:rFonts w:hint="eastAsia"/>
          <w:color w:val="auto"/>
          <w:szCs w:val="32"/>
          <w:lang w:eastAsia="zh-CN"/>
        </w:rPr>
        <w:t>专项</w:t>
      </w:r>
      <w:r>
        <w:rPr>
          <w:color w:val="auto"/>
          <w:szCs w:val="32"/>
        </w:rPr>
        <w:t>规划》（以下简称《规划》）。《规划》结合四川实际，提出四川生活垃圾焚烧发电设施建设的指导思想、基本原则、主要目标、主要任务、重点项目、</w:t>
      </w:r>
      <w:r>
        <w:rPr>
          <w:rFonts w:hint="eastAsia"/>
          <w:color w:val="auto"/>
          <w:szCs w:val="32"/>
        </w:rPr>
        <w:t>规划</w:t>
      </w:r>
      <w:r>
        <w:rPr>
          <w:color w:val="auto"/>
          <w:szCs w:val="32"/>
        </w:rPr>
        <w:t>环境影响和保障措施，全面指导2030年前我省生活垃圾焚烧发电设施建设。</w:t>
      </w:r>
      <w:r>
        <w:rPr>
          <w:rFonts w:hint="eastAsia"/>
          <w:color w:val="auto"/>
          <w:szCs w:val="32"/>
        </w:rPr>
        <w:t>按照《四川省人民政府关于进一步加强规划环境影响评价的意见》（川府发〔2018〕21号）有关要求，编制环境影响评价篇章。</w:t>
      </w:r>
      <w:r>
        <w:rPr>
          <w:color w:val="auto"/>
          <w:szCs w:val="32"/>
        </w:rPr>
        <w:t>规划期为2018—20</w:t>
      </w:r>
      <w:r>
        <w:rPr>
          <w:rFonts w:hint="eastAsia"/>
          <w:color w:val="auto"/>
          <w:szCs w:val="32"/>
        </w:rPr>
        <w:t>3</w:t>
      </w:r>
      <w:r>
        <w:rPr>
          <w:color w:val="auto"/>
          <w:szCs w:val="32"/>
        </w:rPr>
        <w:t>0年。</w:t>
      </w:r>
      <w:bookmarkStart w:id="7" w:name="_Toc343262108"/>
    </w:p>
    <w:p>
      <w:pPr>
        <w:pStyle w:val="2"/>
        <w:spacing w:before="0" w:after="0" w:line="580" w:lineRule="exact"/>
        <w:ind w:left="643"/>
        <w:rPr>
          <w:b w:val="0"/>
          <w:bCs/>
          <w:color w:val="auto"/>
          <w:szCs w:val="32"/>
        </w:rPr>
      </w:pPr>
      <w:bookmarkStart w:id="8" w:name="_Toc1569705"/>
      <w:r>
        <w:rPr>
          <w:rFonts w:eastAsia="黑体"/>
          <w:b w:val="0"/>
          <w:bCs/>
          <w:color w:val="auto"/>
          <w:sz w:val="32"/>
          <w:szCs w:val="32"/>
        </w:rPr>
        <w:t>一、规划背景</w:t>
      </w:r>
      <w:bookmarkEnd w:id="8"/>
      <w:r>
        <w:rPr>
          <w:rFonts w:eastAsia="黑体"/>
          <w:b w:val="0"/>
          <w:bCs/>
          <w:color w:val="auto"/>
          <w:sz w:val="32"/>
          <w:szCs w:val="32"/>
        </w:rPr>
        <w:t xml:space="preserve"> </w:t>
      </w:r>
      <w:bookmarkEnd w:id="7"/>
    </w:p>
    <w:p>
      <w:pPr>
        <w:spacing w:line="580" w:lineRule="exact"/>
        <w:ind w:firstLine="640" w:firstLineChars="200"/>
        <w:rPr>
          <w:color w:val="auto"/>
          <w:szCs w:val="32"/>
        </w:rPr>
      </w:pPr>
      <w:r>
        <w:rPr>
          <w:color w:val="auto"/>
          <w:szCs w:val="32"/>
        </w:rPr>
        <w:t>“十一五”以来，我省不断加大城镇生活垃圾处理设施建设力度，</w:t>
      </w:r>
      <w:r>
        <w:rPr>
          <w:rFonts w:hint="eastAsia"/>
          <w:color w:val="auto"/>
          <w:szCs w:val="32"/>
          <w:lang w:eastAsia="zh-CN"/>
        </w:rPr>
        <w:t>认真</w:t>
      </w:r>
      <w:r>
        <w:rPr>
          <w:color w:val="auto"/>
          <w:szCs w:val="32"/>
        </w:rPr>
        <w:t>落实相关政策措施，生活垃圾处理设施建设工作取得了积极进展。</w:t>
      </w:r>
      <w:r>
        <w:rPr>
          <w:color w:val="auto"/>
        </w:rPr>
        <w:t>截至目前，</w:t>
      </w:r>
      <w:r>
        <w:rPr>
          <w:color w:val="auto"/>
          <w:szCs w:val="32"/>
        </w:rPr>
        <w:t>我省已建成投运生活垃圾填埋场</w:t>
      </w:r>
      <w:r>
        <w:rPr>
          <w:rFonts w:hint="eastAsia"/>
          <w:color w:val="auto"/>
          <w:szCs w:val="32"/>
          <w:lang w:val="en-US" w:eastAsia="zh-CN"/>
        </w:rPr>
        <w:t>117</w:t>
      </w:r>
      <w:r>
        <w:rPr>
          <w:color w:val="auto"/>
          <w:szCs w:val="32"/>
        </w:rPr>
        <w:t>座、日处理生活垃圾</w:t>
      </w:r>
      <w:r>
        <w:rPr>
          <w:rFonts w:hint="eastAsia"/>
          <w:color w:val="auto"/>
          <w:szCs w:val="32"/>
          <w:lang w:val="en-US" w:eastAsia="zh-CN"/>
        </w:rPr>
        <w:t>1.47</w:t>
      </w:r>
      <w:r>
        <w:rPr>
          <w:color w:val="auto"/>
          <w:szCs w:val="32"/>
        </w:rPr>
        <w:t>万吨，在成都、自贡、泸州、绵阳等1</w:t>
      </w:r>
      <w:r>
        <w:rPr>
          <w:rFonts w:hint="eastAsia"/>
          <w:color w:val="auto"/>
          <w:szCs w:val="32"/>
          <w:lang w:val="en-US" w:eastAsia="zh-CN"/>
        </w:rPr>
        <w:t>5</w:t>
      </w:r>
      <w:r>
        <w:rPr>
          <w:color w:val="auto"/>
          <w:szCs w:val="32"/>
        </w:rPr>
        <w:t>个市（州）建成生活垃圾焚烧发电设施1</w:t>
      </w:r>
      <w:r>
        <w:rPr>
          <w:rFonts w:hint="eastAsia"/>
          <w:color w:val="auto"/>
          <w:szCs w:val="32"/>
          <w:lang w:val="en-US" w:eastAsia="zh-CN"/>
        </w:rPr>
        <w:t>8</w:t>
      </w:r>
      <w:r>
        <w:rPr>
          <w:color w:val="auto"/>
          <w:szCs w:val="32"/>
        </w:rPr>
        <w:t>座、日处理生活垃圾1</w:t>
      </w:r>
      <w:r>
        <w:rPr>
          <w:rFonts w:hint="eastAsia"/>
          <w:color w:val="auto"/>
          <w:szCs w:val="32"/>
        </w:rPr>
        <w:t>.8</w:t>
      </w:r>
      <w:r>
        <w:rPr>
          <w:rFonts w:hint="eastAsia"/>
          <w:color w:val="auto"/>
          <w:szCs w:val="32"/>
          <w:lang w:val="en-US" w:eastAsia="zh-CN"/>
        </w:rPr>
        <w:t>4</w:t>
      </w:r>
      <w:r>
        <w:rPr>
          <w:color w:val="auto"/>
          <w:szCs w:val="32"/>
        </w:rPr>
        <w:t>万吨。</w:t>
      </w:r>
      <w:r>
        <w:rPr>
          <w:color w:val="auto"/>
        </w:rPr>
        <w:t>目前，</w:t>
      </w:r>
      <w:r>
        <w:rPr>
          <w:color w:val="auto"/>
          <w:szCs w:val="32"/>
        </w:rPr>
        <w:t>有成都万兴环保发电厂二期、内江垃圾焚烧发电项目等一批生活垃圾焚烧发电设施正在建设。</w:t>
      </w:r>
      <w:r>
        <w:rPr>
          <w:color w:val="auto"/>
        </w:rPr>
        <w:t>同时，生物处理、</w:t>
      </w:r>
      <w:r>
        <w:rPr>
          <w:color w:val="auto"/>
          <w:szCs w:val="32"/>
        </w:rPr>
        <w:t>水泥窑协同等生活垃圾处理技术也得到迅速发展</w:t>
      </w:r>
      <w:r>
        <w:rPr>
          <w:color w:val="auto"/>
        </w:rPr>
        <w:t>，</w:t>
      </w:r>
      <w:r>
        <w:rPr>
          <w:color w:val="auto"/>
          <w:szCs w:val="32"/>
        </w:rPr>
        <w:t>生活垃圾处理呈现多种处理技术共同发展的格局。</w:t>
      </w:r>
    </w:p>
    <w:p>
      <w:pPr>
        <w:spacing w:line="580" w:lineRule="exact"/>
        <w:ind w:firstLine="640"/>
        <w:rPr>
          <w:color w:val="auto"/>
          <w:kern w:val="0"/>
          <w:szCs w:val="32"/>
        </w:rPr>
      </w:pPr>
      <w:r>
        <w:rPr>
          <w:color w:val="auto"/>
          <w:szCs w:val="32"/>
        </w:rPr>
        <w:t>随着我省经济社会的快速发展和城镇化加快</w:t>
      </w:r>
      <w:r>
        <w:rPr>
          <w:rFonts w:hint="eastAsia"/>
          <w:color w:val="auto"/>
          <w:szCs w:val="32"/>
          <w:lang w:eastAsia="zh-CN"/>
        </w:rPr>
        <w:t>推进</w:t>
      </w:r>
      <w:r>
        <w:rPr>
          <w:color w:val="auto"/>
          <w:szCs w:val="32"/>
        </w:rPr>
        <w:t>，城市人口不断增加，生活垃圾产生量持续上升，部分垃圾填埋场超负荷运行，导致卫生填埋场设计服务期大幅缩短。</w:t>
      </w:r>
      <w:r>
        <w:rPr>
          <w:rFonts w:hint="eastAsia"/>
          <w:color w:val="auto"/>
          <w:szCs w:val="32"/>
        </w:rPr>
        <w:t>根据市（县）卫生填埋场运行情况统计，全省现有117座垃圾填埋场中，有38座剩余服务期不足5年，37座剩余服务期在5到10年之间</w:t>
      </w:r>
      <w:r>
        <w:rPr>
          <w:color w:val="auto"/>
          <w:szCs w:val="32"/>
        </w:rPr>
        <w:t>。传统卫生填埋处理</w:t>
      </w:r>
      <w:r>
        <w:rPr>
          <w:rFonts w:hint="eastAsia"/>
          <w:color w:val="auto"/>
          <w:szCs w:val="32"/>
        </w:rPr>
        <w:t>生活</w:t>
      </w:r>
      <w:r>
        <w:rPr>
          <w:color w:val="auto"/>
          <w:szCs w:val="32"/>
        </w:rPr>
        <w:t>垃圾方式已不能满足我省城镇快速发展的需要，而现有生活垃圾焚烧发电设施主要服务城市及周边地区，覆盖范围有限，未来我省部分城市将面临</w:t>
      </w:r>
      <w:r>
        <w:rPr>
          <w:rFonts w:hint="eastAsia"/>
          <w:color w:val="auto"/>
          <w:szCs w:val="32"/>
          <w:lang w:eastAsia="zh-CN"/>
        </w:rPr>
        <w:t>日益突出的</w:t>
      </w:r>
      <w:r>
        <w:rPr>
          <w:color w:val="auto"/>
          <w:szCs w:val="32"/>
        </w:rPr>
        <w:t>生活垃圾处理问题，</w:t>
      </w:r>
      <w:r>
        <w:rPr>
          <w:color w:val="auto"/>
          <w:kern w:val="0"/>
          <w:szCs w:val="32"/>
        </w:rPr>
        <w:t>迫切需要采用减量化程度高、</w:t>
      </w:r>
      <w:r>
        <w:rPr>
          <w:color w:val="auto"/>
        </w:rPr>
        <w:t>有利于节</w:t>
      </w:r>
      <w:r>
        <w:rPr>
          <w:color w:val="auto"/>
          <w:kern w:val="0"/>
          <w:szCs w:val="32"/>
        </w:rPr>
        <w:t>约土地资源、资源回收利用效益可观的垃圾</w:t>
      </w:r>
      <w:r>
        <w:rPr>
          <w:rFonts w:hint="eastAsia"/>
          <w:color w:val="auto"/>
          <w:kern w:val="0"/>
          <w:szCs w:val="32"/>
        </w:rPr>
        <w:t>焚烧发电</w:t>
      </w:r>
      <w:r>
        <w:rPr>
          <w:color w:val="auto"/>
          <w:kern w:val="0"/>
          <w:szCs w:val="32"/>
        </w:rPr>
        <w:t>等先进处理方式。</w:t>
      </w:r>
    </w:p>
    <w:p>
      <w:pPr>
        <w:spacing w:line="580" w:lineRule="exact"/>
        <w:ind w:firstLine="640" w:firstLineChars="200"/>
        <w:rPr>
          <w:color w:val="auto"/>
          <w:szCs w:val="32"/>
        </w:rPr>
      </w:pPr>
      <w:r>
        <w:rPr>
          <w:color w:val="auto"/>
          <w:szCs w:val="32"/>
          <w:lang w:val="zh-CN"/>
        </w:rPr>
        <w:t>党的十九大明确</w:t>
      </w:r>
      <w:r>
        <w:rPr>
          <w:rFonts w:hint="eastAsia"/>
          <w:color w:val="auto"/>
          <w:szCs w:val="32"/>
          <w:lang w:val="zh-CN"/>
        </w:rPr>
        <w:t>，</w:t>
      </w:r>
      <w:r>
        <w:rPr>
          <w:color w:val="auto"/>
          <w:szCs w:val="32"/>
        </w:rPr>
        <w:t>要</w:t>
      </w:r>
      <w:r>
        <w:rPr>
          <w:color w:val="auto"/>
          <w:szCs w:val="32"/>
          <w:lang w:val="zh-CN"/>
        </w:rPr>
        <w:t>充分利用改革开放40年来积累的坚实物质基础，加大力度推进生态文明建设、解决</w:t>
      </w:r>
      <w:r>
        <w:rPr>
          <w:rFonts w:hint="eastAsia"/>
          <w:color w:val="auto"/>
          <w:szCs w:val="32"/>
          <w:lang w:val="zh-CN"/>
        </w:rPr>
        <w:t>突出</w:t>
      </w:r>
      <w:r>
        <w:rPr>
          <w:color w:val="auto"/>
          <w:szCs w:val="32"/>
          <w:lang w:val="zh-CN"/>
        </w:rPr>
        <w:t>生态环境问题，坚决打好污染防治攻坚战，推动我国生态文明建设迈上新台阶。全国生态环境保护大会</w:t>
      </w:r>
      <w:r>
        <w:rPr>
          <w:rFonts w:hint="eastAsia"/>
          <w:color w:val="auto"/>
          <w:szCs w:val="32"/>
          <w:lang w:val="zh-CN"/>
        </w:rPr>
        <w:t>指</w:t>
      </w:r>
      <w:r>
        <w:rPr>
          <w:color w:val="auto"/>
          <w:szCs w:val="32"/>
          <w:lang w:val="zh-CN"/>
        </w:rPr>
        <w:t>出</w:t>
      </w:r>
      <w:r>
        <w:rPr>
          <w:rFonts w:hint="eastAsia"/>
          <w:color w:val="auto"/>
          <w:szCs w:val="32"/>
          <w:lang w:val="zh-CN"/>
        </w:rPr>
        <w:t>，</w:t>
      </w:r>
      <w:r>
        <w:rPr>
          <w:color w:val="auto"/>
          <w:szCs w:val="32"/>
          <w:lang w:val="zh-CN"/>
        </w:rPr>
        <w:t>要将解决突出生态环境问题作为民生优先领域，加强固体废弃物和垃圾处置</w:t>
      </w:r>
      <w:r>
        <w:rPr>
          <w:rFonts w:hint="eastAsia"/>
          <w:color w:val="auto"/>
          <w:szCs w:val="32"/>
          <w:lang w:val="zh-CN"/>
        </w:rPr>
        <w:t>。全</w:t>
      </w:r>
      <w:r>
        <w:rPr>
          <w:color w:val="auto"/>
          <w:szCs w:val="32"/>
          <w:lang w:val="zh-CN"/>
        </w:rPr>
        <w:t>省生态环境保护大会进一步提出</w:t>
      </w:r>
      <w:r>
        <w:rPr>
          <w:rFonts w:hint="eastAsia"/>
          <w:color w:val="auto"/>
          <w:szCs w:val="32"/>
          <w:lang w:val="zh-CN"/>
        </w:rPr>
        <w:t>，</w:t>
      </w:r>
      <w:r>
        <w:rPr>
          <w:color w:val="auto"/>
          <w:szCs w:val="32"/>
          <w:lang w:val="zh-CN"/>
        </w:rPr>
        <w:t>要实施环保基础设施建设攻坚战，持续改善我省生态环境质量。这些重大部署和重要要求，对我省</w:t>
      </w:r>
      <w:r>
        <w:rPr>
          <w:color w:val="auto"/>
          <w:szCs w:val="32"/>
        </w:rPr>
        <w:t>统筹</w:t>
      </w:r>
      <w:r>
        <w:rPr>
          <w:color w:val="auto"/>
          <w:kern w:val="0"/>
          <w:szCs w:val="32"/>
        </w:rPr>
        <w:t>加快推进生活垃圾焚烧发电设施建设，不断提高设施运营水平，</w:t>
      </w:r>
      <w:r>
        <w:rPr>
          <w:color w:val="auto"/>
          <w:szCs w:val="32"/>
          <w:lang w:val="zh-CN"/>
        </w:rPr>
        <w:t>促进生态环境质量改善和生态文明建设</w:t>
      </w:r>
      <w:r>
        <w:rPr>
          <w:color w:val="auto"/>
          <w:szCs w:val="32"/>
        </w:rPr>
        <w:t>提供了方向指引和根本遵循。</w:t>
      </w:r>
    </w:p>
    <w:p>
      <w:pPr>
        <w:pStyle w:val="2"/>
        <w:spacing w:before="0" w:after="0" w:line="580" w:lineRule="exact"/>
        <w:ind w:left="643"/>
        <w:rPr>
          <w:rFonts w:eastAsia="黑体"/>
          <w:b w:val="0"/>
          <w:bCs/>
          <w:color w:val="auto"/>
          <w:sz w:val="32"/>
          <w:szCs w:val="32"/>
        </w:rPr>
      </w:pPr>
      <w:bookmarkStart w:id="9" w:name="_Toc1569706"/>
      <w:bookmarkStart w:id="10" w:name="_Toc343262130"/>
      <w:r>
        <w:rPr>
          <w:rFonts w:eastAsia="黑体"/>
          <w:b w:val="0"/>
          <w:bCs/>
          <w:color w:val="auto"/>
          <w:sz w:val="32"/>
          <w:szCs w:val="32"/>
        </w:rPr>
        <w:t>二、指导思想、基本原则和主要目标</w:t>
      </w:r>
      <w:bookmarkEnd w:id="9"/>
      <w:bookmarkEnd w:id="10"/>
      <w:r>
        <w:rPr>
          <w:rFonts w:eastAsia="黑体"/>
          <w:b w:val="0"/>
          <w:bCs/>
          <w:color w:val="auto"/>
          <w:sz w:val="32"/>
          <w:szCs w:val="32"/>
        </w:rPr>
        <w:t xml:space="preserve"> </w:t>
      </w:r>
    </w:p>
    <w:p>
      <w:pPr>
        <w:pStyle w:val="3"/>
        <w:spacing w:before="0" w:after="0" w:line="580" w:lineRule="exact"/>
        <w:ind w:firstLine="480" w:firstLineChars="150"/>
        <w:rPr>
          <w:rFonts w:ascii="Times New Roman" w:hAnsi="Times New Roman" w:eastAsia="楷体_GB2312"/>
          <w:color w:val="auto"/>
          <w:szCs w:val="32"/>
        </w:rPr>
      </w:pPr>
      <w:bookmarkStart w:id="11" w:name="_Toc343262131"/>
      <w:bookmarkStart w:id="12" w:name="_Toc1569707"/>
      <w:r>
        <w:rPr>
          <w:rFonts w:ascii="Times New Roman" w:hAnsi="Times New Roman" w:eastAsia="楷体_GB2312"/>
          <w:color w:val="auto"/>
          <w:szCs w:val="32"/>
        </w:rPr>
        <w:t>（一）指导思想</w:t>
      </w:r>
      <w:bookmarkEnd w:id="11"/>
      <w:bookmarkEnd w:id="12"/>
      <w:r>
        <w:rPr>
          <w:rFonts w:ascii="Times New Roman" w:hAnsi="Times New Roman" w:eastAsia="楷体_GB2312"/>
          <w:color w:val="auto"/>
          <w:szCs w:val="32"/>
        </w:rPr>
        <w:t xml:space="preserve"> </w:t>
      </w:r>
    </w:p>
    <w:p>
      <w:pPr>
        <w:pStyle w:val="9"/>
        <w:spacing w:line="580" w:lineRule="exact"/>
        <w:ind w:firstLine="640"/>
        <w:rPr>
          <w:color w:val="auto"/>
          <w:sz w:val="32"/>
          <w:szCs w:val="32"/>
        </w:rPr>
      </w:pPr>
      <w:r>
        <w:rPr>
          <w:color w:val="auto"/>
          <w:sz w:val="32"/>
          <w:szCs w:val="32"/>
          <w:lang w:val="zh-CN"/>
        </w:rPr>
        <w:t>认真贯彻落实党的十九大精神，全面落实省第十一次党代会、省委十一届三次</w:t>
      </w:r>
      <w:r>
        <w:rPr>
          <w:rFonts w:hint="eastAsia"/>
          <w:color w:val="auto"/>
          <w:sz w:val="32"/>
          <w:szCs w:val="32"/>
          <w:lang w:val="zh-CN"/>
        </w:rPr>
        <w:t>、四次</w:t>
      </w:r>
      <w:r>
        <w:rPr>
          <w:color w:val="auto"/>
          <w:sz w:val="32"/>
          <w:szCs w:val="32"/>
          <w:lang w:val="zh-CN"/>
        </w:rPr>
        <w:t>全会精神，以习近平新时代中国特色社会主义思想为指导，围绕解决</w:t>
      </w:r>
      <w:r>
        <w:rPr>
          <w:color w:val="auto"/>
          <w:sz w:val="32"/>
          <w:szCs w:val="32"/>
        </w:rPr>
        <w:t>生态</w:t>
      </w:r>
      <w:r>
        <w:rPr>
          <w:color w:val="auto"/>
          <w:sz w:val="32"/>
          <w:szCs w:val="32"/>
          <w:lang w:val="zh-CN"/>
        </w:rPr>
        <w:t>环境突出问题、</w:t>
      </w:r>
      <w:r>
        <w:rPr>
          <w:color w:val="auto"/>
          <w:sz w:val="32"/>
          <w:szCs w:val="32"/>
        </w:rPr>
        <w:t>推进生产生活方式绿色化</w:t>
      </w:r>
      <w:r>
        <w:rPr>
          <w:color w:val="auto"/>
          <w:sz w:val="32"/>
          <w:szCs w:val="32"/>
          <w:lang w:val="zh-CN"/>
        </w:rPr>
        <w:t>，</w:t>
      </w:r>
      <w:r>
        <w:rPr>
          <w:color w:val="auto"/>
          <w:sz w:val="32"/>
          <w:szCs w:val="32"/>
        </w:rPr>
        <w:t>统筹规划布局，突出重点项目，强化保障措施，</w:t>
      </w:r>
      <w:r>
        <w:rPr>
          <w:color w:val="auto"/>
          <w:sz w:val="32"/>
          <w:szCs w:val="32"/>
          <w:lang w:val="zh-CN"/>
        </w:rPr>
        <w:t>加快推进</w:t>
      </w:r>
      <w:r>
        <w:rPr>
          <w:rFonts w:hint="eastAsia"/>
          <w:color w:val="auto"/>
          <w:sz w:val="32"/>
          <w:szCs w:val="32"/>
          <w:lang w:val="zh-CN"/>
        </w:rPr>
        <w:t>我</w:t>
      </w:r>
      <w:r>
        <w:rPr>
          <w:color w:val="auto"/>
          <w:sz w:val="32"/>
          <w:szCs w:val="32"/>
          <w:lang w:val="zh-CN"/>
        </w:rPr>
        <w:t>省城镇生活垃圾无害化处理设施建设，提升运营水平，促进城乡公共资源均衡配置，为不断改善城</w:t>
      </w:r>
      <w:r>
        <w:rPr>
          <w:rFonts w:hint="eastAsia"/>
          <w:color w:val="auto"/>
          <w:sz w:val="32"/>
          <w:szCs w:val="32"/>
          <w:lang w:val="zh-CN"/>
        </w:rPr>
        <w:t>乡</w:t>
      </w:r>
      <w:r>
        <w:rPr>
          <w:color w:val="auto"/>
          <w:sz w:val="32"/>
          <w:szCs w:val="32"/>
          <w:lang w:val="zh-CN"/>
        </w:rPr>
        <w:t>人居环境，打好污染防治攻坚战，提升生态文明建设</w:t>
      </w:r>
      <w:r>
        <w:rPr>
          <w:color w:val="auto"/>
          <w:sz w:val="32"/>
          <w:szCs w:val="32"/>
        </w:rPr>
        <w:t>和绿色发展</w:t>
      </w:r>
      <w:r>
        <w:rPr>
          <w:color w:val="auto"/>
          <w:sz w:val="32"/>
          <w:szCs w:val="32"/>
          <w:lang w:val="zh-CN"/>
        </w:rPr>
        <w:t>水平奠定良好基础。</w:t>
      </w:r>
    </w:p>
    <w:p>
      <w:pPr>
        <w:pStyle w:val="3"/>
        <w:spacing w:before="0" w:after="0" w:line="580" w:lineRule="exact"/>
        <w:ind w:firstLine="480" w:firstLineChars="150"/>
        <w:rPr>
          <w:rFonts w:ascii="Times New Roman" w:hAnsi="Times New Roman" w:eastAsia="楷体_GB2312"/>
          <w:color w:val="auto"/>
          <w:szCs w:val="32"/>
        </w:rPr>
      </w:pPr>
      <w:bookmarkStart w:id="13" w:name="_Toc1569708"/>
      <w:bookmarkStart w:id="14" w:name="_Toc343262132"/>
      <w:r>
        <w:rPr>
          <w:rFonts w:ascii="Times New Roman" w:hAnsi="Times New Roman" w:eastAsia="楷体_GB2312"/>
          <w:color w:val="auto"/>
          <w:szCs w:val="32"/>
        </w:rPr>
        <w:t>（二）基本原则</w:t>
      </w:r>
      <w:bookmarkEnd w:id="13"/>
      <w:bookmarkEnd w:id="14"/>
    </w:p>
    <w:p>
      <w:pPr>
        <w:pStyle w:val="9"/>
        <w:spacing w:line="580" w:lineRule="exact"/>
        <w:ind w:firstLine="643"/>
        <w:rPr>
          <w:color w:val="auto"/>
          <w:sz w:val="32"/>
          <w:szCs w:val="32"/>
        </w:rPr>
      </w:pPr>
      <w:bookmarkStart w:id="15" w:name="_Toc343262133"/>
      <w:r>
        <w:rPr>
          <w:b/>
          <w:color w:val="auto"/>
          <w:sz w:val="32"/>
          <w:szCs w:val="32"/>
          <w:lang w:val="zh-CN"/>
        </w:rPr>
        <w:t>统筹规划，区域共享。</w:t>
      </w:r>
      <w:r>
        <w:rPr>
          <w:color w:val="auto"/>
          <w:sz w:val="32"/>
          <w:szCs w:val="32"/>
        </w:rPr>
        <w:t>合理规划生活垃圾焚烧发电设施建设，统筹建设生活垃圾收运体系。</w:t>
      </w:r>
      <w:r>
        <w:rPr>
          <w:color w:val="auto"/>
          <w:spacing w:val="-3"/>
          <w:sz w:val="32"/>
          <w:szCs w:val="32"/>
        </w:rPr>
        <w:t>通过以城带乡、设施共享等形式，逐步将生活垃圾焚烧发电设施服务范围扩展至建制镇</w:t>
      </w:r>
      <w:r>
        <w:rPr>
          <w:rFonts w:hint="eastAsia"/>
          <w:color w:val="auto"/>
          <w:spacing w:val="-3"/>
          <w:sz w:val="32"/>
          <w:szCs w:val="32"/>
        </w:rPr>
        <w:t>。</w:t>
      </w:r>
      <w:r>
        <w:rPr>
          <w:color w:val="auto"/>
          <w:spacing w:val="-3"/>
          <w:sz w:val="32"/>
          <w:szCs w:val="32"/>
        </w:rPr>
        <w:t>鼓励跨行政区域共建共享处理设施，提升焚</w:t>
      </w:r>
      <w:r>
        <w:rPr>
          <w:color w:val="auto"/>
          <w:sz w:val="32"/>
          <w:szCs w:val="32"/>
        </w:rPr>
        <w:t>烧发电区域服务水平。</w:t>
      </w:r>
    </w:p>
    <w:p>
      <w:pPr>
        <w:pStyle w:val="9"/>
        <w:spacing w:line="580" w:lineRule="exact"/>
        <w:ind w:firstLine="643"/>
        <w:rPr>
          <w:color w:val="auto"/>
          <w:spacing w:val="-3"/>
          <w:sz w:val="32"/>
          <w:szCs w:val="32"/>
        </w:rPr>
      </w:pPr>
      <w:r>
        <w:rPr>
          <w:b/>
          <w:color w:val="auto"/>
          <w:sz w:val="32"/>
          <w:szCs w:val="32"/>
        </w:rPr>
        <w:t>创新驱动，多元协同。</w:t>
      </w:r>
      <w:r>
        <w:rPr>
          <w:color w:val="auto"/>
          <w:sz w:val="32"/>
          <w:szCs w:val="32"/>
        </w:rPr>
        <w:t>以科技创新为动力，提高垃圾资源化、能源化利用技术装备自主研发能力和国产化技术装备水平，不断提高生活垃圾减量化、资源化和无害化处理水平。大力推行特许经营和环境污染第三方治理等模式，鼓励各类经济实体参与城镇垃圾无害化处理设施的投资、建设和</w:t>
      </w:r>
      <w:r>
        <w:rPr>
          <w:rFonts w:hint="eastAsia"/>
          <w:color w:val="auto"/>
          <w:sz w:val="32"/>
          <w:szCs w:val="32"/>
          <w:lang w:eastAsia="zh-CN"/>
        </w:rPr>
        <w:t>运</w:t>
      </w:r>
      <w:r>
        <w:rPr>
          <w:color w:val="auto"/>
          <w:sz w:val="32"/>
          <w:szCs w:val="32"/>
        </w:rPr>
        <w:t>营。</w:t>
      </w:r>
    </w:p>
    <w:p>
      <w:pPr>
        <w:pStyle w:val="33"/>
        <w:shd w:val="clear" w:color="auto" w:fill="FFFFFF"/>
        <w:spacing w:before="0" w:beforeAutospacing="0" w:after="0" w:afterAutospacing="0" w:line="580" w:lineRule="exact"/>
        <w:ind w:firstLine="602"/>
        <w:jc w:val="both"/>
        <w:rPr>
          <w:rFonts w:ascii="Times New Roman" w:hAnsi="Times New Roman" w:eastAsia="仿宋_GB2312" w:cs="Times New Roman"/>
          <w:color w:val="auto"/>
          <w:sz w:val="32"/>
          <w:szCs w:val="32"/>
        </w:rPr>
      </w:pPr>
      <w:r>
        <w:rPr>
          <w:rFonts w:ascii="Times New Roman" w:hAnsi="Times New Roman" w:eastAsia="仿宋_GB2312" w:cs="Times New Roman"/>
          <w:b/>
          <w:snapToGrid w:val="0"/>
          <w:color w:val="auto"/>
          <w:kern w:val="10"/>
          <w:sz w:val="32"/>
          <w:szCs w:val="32"/>
          <w:lang w:val="zh-CN"/>
        </w:rPr>
        <w:t>因地制宜，强化监管。</w:t>
      </w:r>
      <w:r>
        <w:rPr>
          <w:rFonts w:ascii="Times New Roman" w:hAnsi="Times New Roman" w:eastAsia="仿宋_GB2312" w:cs="Times New Roman"/>
          <w:snapToGrid w:val="0"/>
          <w:color w:val="auto"/>
          <w:kern w:val="10"/>
          <w:sz w:val="32"/>
          <w:szCs w:val="32"/>
          <w:lang w:val="zh-CN"/>
        </w:rPr>
        <w:t>加强</w:t>
      </w:r>
      <w:r>
        <w:rPr>
          <w:rFonts w:ascii="Times New Roman" w:hAnsi="Times New Roman" w:eastAsia="仿宋_GB2312" w:cs="Times New Roman"/>
          <w:snapToGrid w:val="0"/>
          <w:color w:val="auto"/>
          <w:kern w:val="10"/>
          <w:sz w:val="32"/>
          <w:szCs w:val="32"/>
        </w:rPr>
        <w:t>生活垃圾焚烧发电设施建设监管，针对不同地区实际情况，</w:t>
      </w:r>
      <w:r>
        <w:rPr>
          <w:rFonts w:ascii="Times New Roman" w:hAnsi="Times New Roman" w:eastAsia="仿宋_GB2312" w:cs="Times New Roman"/>
          <w:color w:val="auto"/>
          <w:sz w:val="32"/>
          <w:szCs w:val="32"/>
        </w:rPr>
        <w:t>提前规划、科学论证，选择先进适用技术，减少</w:t>
      </w:r>
      <w:r>
        <w:rPr>
          <w:rFonts w:hint="eastAsia" w:ascii="Times New Roman" w:hAnsi="Times New Roman" w:eastAsia="仿宋_GB2312" w:cs="Times New Roman"/>
          <w:color w:val="auto"/>
          <w:sz w:val="32"/>
          <w:szCs w:val="32"/>
        </w:rPr>
        <w:t>原生生活</w:t>
      </w:r>
      <w:r>
        <w:rPr>
          <w:rFonts w:ascii="Times New Roman" w:hAnsi="Times New Roman" w:eastAsia="仿宋_GB2312" w:cs="Times New Roman"/>
          <w:color w:val="auto"/>
          <w:sz w:val="32"/>
          <w:szCs w:val="32"/>
        </w:rPr>
        <w:t>垃</w:t>
      </w:r>
      <w:r>
        <w:rPr>
          <w:rFonts w:ascii="Times New Roman" w:hAnsi="Times New Roman" w:eastAsia="仿宋_GB2312" w:cs="Times New Roman"/>
          <w:snapToGrid w:val="0"/>
          <w:color w:val="auto"/>
          <w:kern w:val="10"/>
          <w:sz w:val="32"/>
          <w:szCs w:val="32"/>
        </w:rPr>
        <w:t>圾填埋量。加大现有生活垃圾焚烧发电设施污染防治和改造升级力度，加强运营监管，保障处理设施持续安全、达标、稳定</w:t>
      </w:r>
      <w:r>
        <w:rPr>
          <w:rFonts w:ascii="Times New Roman" w:hAnsi="Times New Roman" w:eastAsia="仿宋_GB2312" w:cs="Times New Roman"/>
          <w:color w:val="auto"/>
          <w:sz w:val="32"/>
          <w:szCs w:val="32"/>
        </w:rPr>
        <w:t>运行。</w:t>
      </w:r>
    </w:p>
    <w:p>
      <w:pPr>
        <w:pStyle w:val="3"/>
        <w:spacing w:before="0" w:after="0" w:line="580" w:lineRule="exact"/>
        <w:ind w:firstLine="480" w:firstLineChars="150"/>
        <w:rPr>
          <w:rFonts w:ascii="Times New Roman" w:hAnsi="Times New Roman" w:eastAsia="楷体_GB2312"/>
          <w:color w:val="auto"/>
          <w:szCs w:val="32"/>
        </w:rPr>
      </w:pPr>
      <w:bookmarkStart w:id="16" w:name="_Toc1569709"/>
      <w:r>
        <w:rPr>
          <w:rFonts w:ascii="Times New Roman" w:hAnsi="Times New Roman" w:eastAsia="楷体_GB2312"/>
          <w:color w:val="auto"/>
          <w:szCs w:val="32"/>
        </w:rPr>
        <w:t>（三）</w:t>
      </w:r>
      <w:bookmarkEnd w:id="15"/>
      <w:r>
        <w:rPr>
          <w:rFonts w:ascii="Times New Roman" w:hAnsi="Times New Roman" w:eastAsia="楷体_GB2312"/>
          <w:color w:val="auto"/>
          <w:szCs w:val="32"/>
        </w:rPr>
        <w:t>建设目标</w:t>
      </w:r>
      <w:bookmarkEnd w:id="16"/>
    </w:p>
    <w:p>
      <w:pPr>
        <w:pStyle w:val="9"/>
        <w:spacing w:line="580" w:lineRule="exact"/>
        <w:ind w:firstLine="640"/>
        <w:rPr>
          <w:rFonts w:hint="eastAsia" w:eastAsia="仿宋_GB2312"/>
          <w:color w:val="auto"/>
          <w:sz w:val="32"/>
          <w:szCs w:val="32"/>
          <w:lang w:eastAsia="zh-CN"/>
        </w:rPr>
      </w:pPr>
      <w:r>
        <w:rPr>
          <w:rFonts w:hint="eastAsia"/>
          <w:color w:val="auto"/>
          <w:sz w:val="32"/>
          <w:szCs w:val="32"/>
          <w:lang w:val="en-US" w:eastAsia="zh-CN"/>
        </w:rPr>
        <w:t>2018年</w:t>
      </w:r>
      <w:r>
        <w:rPr>
          <w:color w:val="auto"/>
          <w:sz w:val="32"/>
          <w:szCs w:val="32"/>
        </w:rPr>
        <w:t>到2020年，新建和扩建生活垃圾焚烧发电</w:t>
      </w:r>
      <w:r>
        <w:rPr>
          <w:rFonts w:hint="eastAsia"/>
          <w:color w:val="auto"/>
          <w:sz w:val="32"/>
          <w:szCs w:val="32"/>
        </w:rPr>
        <w:t>项目</w:t>
      </w:r>
      <w:r>
        <w:rPr>
          <w:color w:val="auto"/>
          <w:sz w:val="32"/>
          <w:szCs w:val="32"/>
        </w:rPr>
        <w:t>3</w:t>
      </w:r>
      <w:r>
        <w:rPr>
          <w:rFonts w:hint="eastAsia"/>
          <w:color w:val="auto"/>
          <w:sz w:val="32"/>
          <w:szCs w:val="32"/>
          <w:lang w:val="en-US" w:eastAsia="zh-CN"/>
        </w:rPr>
        <w:t>0</w:t>
      </w:r>
      <w:r>
        <w:rPr>
          <w:rFonts w:hint="eastAsia"/>
          <w:color w:val="auto"/>
          <w:sz w:val="32"/>
          <w:szCs w:val="32"/>
        </w:rPr>
        <w:t>个，</w:t>
      </w:r>
      <w:r>
        <w:rPr>
          <w:color w:val="auto"/>
          <w:sz w:val="32"/>
          <w:szCs w:val="32"/>
        </w:rPr>
        <w:t>日处理能力</w:t>
      </w:r>
      <w:r>
        <w:rPr>
          <w:rFonts w:hint="eastAsia"/>
          <w:color w:val="auto"/>
          <w:sz w:val="32"/>
          <w:szCs w:val="32"/>
          <w:lang w:val="en-US" w:eastAsia="zh-CN"/>
        </w:rPr>
        <w:t>3.205</w:t>
      </w:r>
      <w:r>
        <w:rPr>
          <w:color w:val="auto"/>
          <w:sz w:val="32"/>
          <w:szCs w:val="32"/>
        </w:rPr>
        <w:t>万吨</w:t>
      </w:r>
      <w:r>
        <w:rPr>
          <w:rFonts w:hint="eastAsia"/>
          <w:color w:val="auto"/>
          <w:sz w:val="32"/>
          <w:szCs w:val="32"/>
          <w:lang w:eastAsia="zh-CN"/>
        </w:rPr>
        <w:t>，新增装机容量</w:t>
      </w:r>
      <w:r>
        <w:rPr>
          <w:rFonts w:hint="eastAsia"/>
          <w:color w:val="auto"/>
          <w:sz w:val="32"/>
          <w:szCs w:val="32"/>
          <w:lang w:val="en-US" w:eastAsia="zh-CN"/>
        </w:rPr>
        <w:t>65.9万千瓦</w:t>
      </w:r>
      <w:r>
        <w:rPr>
          <w:color w:val="auto"/>
          <w:sz w:val="32"/>
          <w:szCs w:val="32"/>
        </w:rPr>
        <w:t>。生活垃圾焚烧发电设施处理能力达到无害化处理总能力的65%以上</w:t>
      </w:r>
      <w:r>
        <w:rPr>
          <w:rFonts w:hint="eastAsia"/>
          <w:color w:val="auto"/>
          <w:sz w:val="32"/>
          <w:szCs w:val="32"/>
        </w:rPr>
        <w:t>。除</w:t>
      </w:r>
      <w:r>
        <w:rPr>
          <w:rFonts w:hint="eastAsia"/>
          <w:color w:val="auto"/>
          <w:sz w:val="32"/>
          <w:szCs w:val="32"/>
          <w:lang w:eastAsia="zh-CN"/>
        </w:rPr>
        <w:t>甘孜、阿坝、凉山</w:t>
      </w:r>
      <w:r>
        <w:rPr>
          <w:rFonts w:hint="eastAsia"/>
          <w:color w:val="auto"/>
          <w:sz w:val="32"/>
          <w:szCs w:val="32"/>
        </w:rPr>
        <w:t>地区外，其余市政府所在城市及人口基数大的县（市、区）实现垃圾焚烧发电处理能力全覆盖</w:t>
      </w:r>
      <w:r>
        <w:rPr>
          <w:rFonts w:hint="eastAsia"/>
          <w:color w:val="auto"/>
          <w:sz w:val="32"/>
          <w:szCs w:val="32"/>
          <w:lang w:eastAsia="zh-CN"/>
        </w:rPr>
        <w:t>。</w:t>
      </w:r>
    </w:p>
    <w:p>
      <w:pPr>
        <w:pStyle w:val="9"/>
        <w:spacing w:line="580" w:lineRule="exact"/>
        <w:ind w:firstLine="640"/>
        <w:rPr>
          <w:color w:val="auto"/>
          <w:sz w:val="32"/>
          <w:szCs w:val="32"/>
        </w:rPr>
      </w:pPr>
      <w:r>
        <w:rPr>
          <w:rFonts w:hint="eastAsia"/>
          <w:color w:val="auto"/>
          <w:sz w:val="32"/>
          <w:szCs w:val="32"/>
          <w:lang w:val="en-US" w:eastAsia="zh-CN"/>
        </w:rPr>
        <w:t>2021年</w:t>
      </w:r>
      <w:r>
        <w:rPr>
          <w:color w:val="auto"/>
          <w:sz w:val="32"/>
          <w:szCs w:val="32"/>
        </w:rPr>
        <w:t>到2030年，新建和扩建生活垃圾焚烧发电</w:t>
      </w:r>
      <w:r>
        <w:rPr>
          <w:rFonts w:hint="eastAsia"/>
          <w:color w:val="auto"/>
          <w:sz w:val="32"/>
          <w:szCs w:val="32"/>
        </w:rPr>
        <w:t>项目</w:t>
      </w:r>
      <w:r>
        <w:rPr>
          <w:rFonts w:hint="eastAsia"/>
          <w:color w:val="auto"/>
          <w:sz w:val="32"/>
          <w:szCs w:val="32"/>
          <w:lang w:val="en-US" w:eastAsia="zh-CN"/>
        </w:rPr>
        <w:t>32</w:t>
      </w:r>
      <w:r>
        <w:rPr>
          <w:rFonts w:hint="eastAsia"/>
          <w:color w:val="auto"/>
          <w:sz w:val="32"/>
          <w:szCs w:val="32"/>
        </w:rPr>
        <w:t>个，</w:t>
      </w:r>
      <w:r>
        <w:rPr>
          <w:color w:val="auto"/>
          <w:sz w:val="32"/>
          <w:szCs w:val="32"/>
        </w:rPr>
        <w:t>日处理能力</w:t>
      </w:r>
      <w:r>
        <w:rPr>
          <w:rFonts w:hint="eastAsia"/>
          <w:color w:val="auto"/>
          <w:sz w:val="32"/>
          <w:szCs w:val="32"/>
          <w:lang w:val="en-US" w:eastAsia="zh-CN"/>
        </w:rPr>
        <w:t>2.06</w:t>
      </w:r>
      <w:r>
        <w:rPr>
          <w:color w:val="auto"/>
          <w:sz w:val="32"/>
          <w:szCs w:val="32"/>
        </w:rPr>
        <w:t>万吨</w:t>
      </w:r>
      <w:r>
        <w:rPr>
          <w:rFonts w:hint="eastAsia"/>
          <w:color w:val="auto"/>
          <w:sz w:val="32"/>
          <w:szCs w:val="32"/>
          <w:lang w:eastAsia="zh-CN"/>
        </w:rPr>
        <w:t>，新增装机容量</w:t>
      </w:r>
      <w:r>
        <w:rPr>
          <w:rFonts w:hint="eastAsia"/>
          <w:color w:val="auto"/>
          <w:sz w:val="32"/>
          <w:szCs w:val="32"/>
          <w:lang w:val="en-US" w:eastAsia="zh-CN"/>
        </w:rPr>
        <w:t>40.8万千瓦</w:t>
      </w:r>
      <w:r>
        <w:rPr>
          <w:rFonts w:hint="eastAsia"/>
          <w:color w:val="auto"/>
          <w:sz w:val="32"/>
          <w:szCs w:val="32"/>
        </w:rPr>
        <w:t>。</w:t>
      </w:r>
      <w:r>
        <w:rPr>
          <w:color w:val="auto"/>
          <w:sz w:val="32"/>
          <w:szCs w:val="32"/>
        </w:rPr>
        <w:t>累计</w:t>
      </w:r>
      <w:r>
        <w:rPr>
          <w:rFonts w:hint="eastAsia"/>
          <w:color w:val="auto"/>
          <w:sz w:val="32"/>
          <w:szCs w:val="32"/>
        </w:rPr>
        <w:t>实施生活垃圾</w:t>
      </w:r>
      <w:r>
        <w:rPr>
          <w:color w:val="auto"/>
          <w:sz w:val="32"/>
          <w:szCs w:val="32"/>
        </w:rPr>
        <w:t>焚烧发电</w:t>
      </w:r>
      <w:r>
        <w:rPr>
          <w:rFonts w:hint="eastAsia"/>
          <w:color w:val="auto"/>
          <w:sz w:val="32"/>
          <w:szCs w:val="32"/>
        </w:rPr>
        <w:t>项目</w:t>
      </w:r>
      <w:r>
        <w:rPr>
          <w:rFonts w:hint="eastAsia"/>
          <w:color w:val="auto"/>
          <w:sz w:val="32"/>
          <w:szCs w:val="32"/>
          <w:lang w:val="en-US" w:eastAsia="zh-CN"/>
        </w:rPr>
        <w:t>80</w:t>
      </w:r>
      <w:r>
        <w:rPr>
          <w:rFonts w:hint="eastAsia"/>
          <w:color w:val="auto"/>
          <w:sz w:val="32"/>
          <w:szCs w:val="32"/>
        </w:rPr>
        <w:t>个，</w:t>
      </w:r>
      <w:r>
        <w:rPr>
          <w:color w:val="auto"/>
          <w:sz w:val="32"/>
          <w:szCs w:val="32"/>
        </w:rPr>
        <w:t>日处理能力</w:t>
      </w:r>
      <w:r>
        <w:rPr>
          <w:rFonts w:hint="eastAsia"/>
          <w:color w:val="auto"/>
          <w:sz w:val="32"/>
          <w:szCs w:val="32"/>
        </w:rPr>
        <w:t>达到</w:t>
      </w:r>
      <w:r>
        <w:rPr>
          <w:rFonts w:hint="eastAsia"/>
          <w:color w:val="auto"/>
          <w:sz w:val="32"/>
          <w:szCs w:val="32"/>
          <w:lang w:val="en-US" w:eastAsia="zh-CN"/>
        </w:rPr>
        <w:t>7.105</w:t>
      </w:r>
      <w:r>
        <w:rPr>
          <w:color w:val="auto"/>
          <w:sz w:val="32"/>
          <w:szCs w:val="32"/>
        </w:rPr>
        <w:t>万吨</w:t>
      </w:r>
      <w:r>
        <w:rPr>
          <w:rFonts w:hint="eastAsia"/>
          <w:color w:val="auto"/>
          <w:sz w:val="32"/>
          <w:szCs w:val="32"/>
          <w:lang w:eastAsia="zh-CN"/>
        </w:rPr>
        <w:t>，累计装机容量</w:t>
      </w:r>
      <w:r>
        <w:rPr>
          <w:rFonts w:hint="eastAsia"/>
          <w:color w:val="auto"/>
          <w:sz w:val="32"/>
          <w:szCs w:val="32"/>
          <w:lang w:val="en-US" w:eastAsia="zh-CN"/>
        </w:rPr>
        <w:t>146.2万千瓦</w:t>
      </w:r>
      <w:r>
        <w:rPr>
          <w:color w:val="auto"/>
          <w:sz w:val="32"/>
          <w:szCs w:val="32"/>
        </w:rPr>
        <w:t>。</w:t>
      </w:r>
      <w:r>
        <w:rPr>
          <w:rFonts w:hint="eastAsia"/>
          <w:color w:val="auto"/>
          <w:sz w:val="32"/>
          <w:szCs w:val="32"/>
        </w:rPr>
        <w:t>占</w:t>
      </w:r>
      <w:r>
        <w:rPr>
          <w:color w:val="auto"/>
          <w:sz w:val="32"/>
          <w:szCs w:val="32"/>
        </w:rPr>
        <w:t>无害化处理总能力的75%以上。</w:t>
      </w:r>
      <w:r>
        <w:rPr>
          <w:rFonts w:hint="eastAsia"/>
          <w:color w:val="auto"/>
          <w:sz w:val="32"/>
          <w:szCs w:val="32"/>
        </w:rPr>
        <w:t>除</w:t>
      </w:r>
      <w:r>
        <w:rPr>
          <w:rFonts w:hint="eastAsia"/>
          <w:color w:val="auto"/>
          <w:sz w:val="32"/>
          <w:szCs w:val="32"/>
          <w:lang w:eastAsia="zh-CN"/>
        </w:rPr>
        <w:t>甘孜、阿坝、凉山</w:t>
      </w:r>
      <w:r>
        <w:rPr>
          <w:rFonts w:hint="eastAsia"/>
          <w:color w:val="auto"/>
          <w:sz w:val="32"/>
          <w:szCs w:val="32"/>
        </w:rPr>
        <w:t>地区外，其余市基本实现垃圾焚烧发电处理能力县城全覆盖</w:t>
      </w:r>
      <w:r>
        <w:rPr>
          <w:color w:val="auto"/>
          <w:sz w:val="32"/>
          <w:szCs w:val="32"/>
        </w:rPr>
        <w:t>。生活垃圾焚烧发电设施建设、运营和监管工作制度</w:t>
      </w:r>
      <w:r>
        <w:rPr>
          <w:rFonts w:hint="eastAsia"/>
          <w:color w:val="auto"/>
          <w:sz w:val="32"/>
          <w:szCs w:val="32"/>
          <w:lang w:eastAsia="zh-CN"/>
        </w:rPr>
        <w:t>进一步</w:t>
      </w:r>
      <w:r>
        <w:rPr>
          <w:color w:val="auto"/>
          <w:sz w:val="32"/>
          <w:szCs w:val="32"/>
        </w:rPr>
        <w:t>完善。</w:t>
      </w:r>
    </w:p>
    <w:p>
      <w:pPr>
        <w:pStyle w:val="2"/>
        <w:spacing w:before="0" w:after="0" w:line="580" w:lineRule="exact"/>
        <w:ind w:left="643"/>
        <w:rPr>
          <w:rFonts w:eastAsia="黑体"/>
          <w:b w:val="0"/>
          <w:bCs/>
          <w:color w:val="auto"/>
          <w:sz w:val="32"/>
          <w:szCs w:val="32"/>
        </w:rPr>
      </w:pPr>
      <w:bookmarkStart w:id="17" w:name="_Toc1569710"/>
      <w:bookmarkStart w:id="18" w:name="_Toc343262134"/>
      <w:r>
        <w:rPr>
          <w:rFonts w:eastAsia="黑体"/>
          <w:b w:val="0"/>
          <w:bCs/>
          <w:color w:val="auto"/>
          <w:sz w:val="32"/>
          <w:szCs w:val="32"/>
        </w:rPr>
        <w:t>三、主要任务</w:t>
      </w:r>
      <w:bookmarkEnd w:id="17"/>
      <w:bookmarkEnd w:id="18"/>
      <w:r>
        <w:rPr>
          <w:rFonts w:eastAsia="黑体"/>
          <w:b w:val="0"/>
          <w:bCs/>
          <w:color w:val="auto"/>
          <w:sz w:val="32"/>
          <w:szCs w:val="32"/>
        </w:rPr>
        <w:t xml:space="preserve"> </w:t>
      </w:r>
    </w:p>
    <w:p>
      <w:pPr>
        <w:pStyle w:val="3"/>
        <w:spacing w:before="0" w:after="0" w:line="580" w:lineRule="exact"/>
        <w:ind w:firstLine="480" w:firstLineChars="150"/>
        <w:rPr>
          <w:rFonts w:ascii="Times New Roman" w:hAnsi="Times New Roman" w:eastAsia="仿宋_GB2312"/>
          <w:color w:val="auto"/>
          <w:szCs w:val="32"/>
        </w:rPr>
      </w:pPr>
      <w:bookmarkStart w:id="19" w:name="_Toc343262135"/>
      <w:bookmarkStart w:id="20" w:name="_Toc1569711"/>
      <w:r>
        <w:rPr>
          <w:rFonts w:ascii="Times New Roman" w:hAnsi="Times New Roman" w:eastAsia="楷体_GB2312"/>
          <w:color w:val="auto"/>
          <w:szCs w:val="32"/>
        </w:rPr>
        <w:t>（一）加快处理设施建设</w:t>
      </w:r>
      <w:bookmarkEnd w:id="19"/>
      <w:r>
        <w:rPr>
          <w:rFonts w:ascii="Times New Roman" w:hAnsi="Times New Roman" w:eastAsia="楷体_GB2312"/>
          <w:color w:val="auto"/>
          <w:szCs w:val="32"/>
        </w:rPr>
        <w:t>，提高生活垃圾资源化利用水平</w:t>
      </w:r>
      <w:bookmarkEnd w:id="20"/>
    </w:p>
    <w:p>
      <w:pPr>
        <w:pStyle w:val="9"/>
        <w:spacing w:line="580" w:lineRule="exact"/>
        <w:ind w:firstLine="643"/>
        <w:rPr>
          <w:color w:val="auto"/>
          <w:kern w:val="0"/>
          <w:sz w:val="32"/>
          <w:szCs w:val="32"/>
        </w:rPr>
      </w:pPr>
      <w:r>
        <w:rPr>
          <w:b/>
          <w:color w:val="auto"/>
          <w:sz w:val="32"/>
          <w:szCs w:val="32"/>
        </w:rPr>
        <w:t>加快设施建设。</w:t>
      </w:r>
      <w:r>
        <w:rPr>
          <w:color w:val="auto"/>
          <w:sz w:val="32"/>
        </w:rPr>
        <w:t>统筹规划</w:t>
      </w:r>
      <w:r>
        <w:rPr>
          <w:color w:val="auto"/>
          <w:sz w:val="32"/>
          <w:szCs w:val="32"/>
        </w:rPr>
        <w:t>生活垃圾焚烧发电处理设施布局，</w:t>
      </w:r>
      <w:r>
        <w:rPr>
          <w:color w:val="auto"/>
          <w:kern w:val="0"/>
          <w:sz w:val="32"/>
          <w:szCs w:val="32"/>
        </w:rPr>
        <w:t>在有效控制</w:t>
      </w:r>
      <w:r>
        <w:rPr>
          <w:rFonts w:hint="eastAsia"/>
          <w:color w:val="auto"/>
          <w:kern w:val="0"/>
          <w:sz w:val="32"/>
          <w:szCs w:val="32"/>
        </w:rPr>
        <w:t>二噁英</w:t>
      </w:r>
      <w:r>
        <w:rPr>
          <w:color w:val="auto"/>
          <w:kern w:val="0"/>
          <w:sz w:val="32"/>
          <w:szCs w:val="32"/>
        </w:rPr>
        <w:t>等污染物排放和保护环境的前提下，加大生活垃圾焚烧发电设施建设力度</w:t>
      </w:r>
      <w:r>
        <w:rPr>
          <w:color w:val="auto"/>
          <w:sz w:val="32"/>
          <w:szCs w:val="32"/>
        </w:rPr>
        <w:t>。</w:t>
      </w:r>
      <w:r>
        <w:rPr>
          <w:rFonts w:hint="eastAsia"/>
          <w:color w:val="auto"/>
          <w:sz w:val="32"/>
          <w:szCs w:val="32"/>
        </w:rPr>
        <w:t>距离</w:t>
      </w:r>
      <w:r>
        <w:rPr>
          <w:color w:val="auto"/>
          <w:sz w:val="32"/>
          <w:szCs w:val="32"/>
        </w:rPr>
        <w:t>市</w:t>
      </w:r>
      <w:r>
        <w:rPr>
          <w:rFonts w:hint="eastAsia"/>
          <w:color w:val="auto"/>
          <w:sz w:val="32"/>
          <w:szCs w:val="32"/>
        </w:rPr>
        <w:t>县</w:t>
      </w:r>
      <w:r>
        <w:rPr>
          <w:color w:val="auto"/>
          <w:sz w:val="32"/>
          <w:szCs w:val="32"/>
        </w:rPr>
        <w:t>集中处理设施较远的建制镇</w:t>
      </w:r>
      <w:r>
        <w:rPr>
          <w:rFonts w:hint="eastAsia"/>
          <w:color w:val="auto"/>
          <w:sz w:val="32"/>
          <w:szCs w:val="32"/>
          <w:lang w:eastAsia="zh-CN"/>
        </w:rPr>
        <w:t>，</w:t>
      </w:r>
      <w:r>
        <w:rPr>
          <w:color w:val="auto"/>
          <w:sz w:val="32"/>
          <w:szCs w:val="32"/>
        </w:rPr>
        <w:t>可</w:t>
      </w:r>
      <w:r>
        <w:rPr>
          <w:rFonts w:hint="eastAsia"/>
          <w:color w:val="auto"/>
          <w:sz w:val="32"/>
          <w:szCs w:val="32"/>
        </w:rPr>
        <w:t>视</w:t>
      </w:r>
      <w:r>
        <w:rPr>
          <w:color w:val="auto"/>
          <w:sz w:val="32"/>
          <w:szCs w:val="32"/>
        </w:rPr>
        <w:t>具体情况鼓励采用跨行政</w:t>
      </w:r>
      <w:r>
        <w:rPr>
          <w:rFonts w:hint="eastAsia"/>
          <w:color w:val="auto"/>
          <w:sz w:val="32"/>
          <w:szCs w:val="32"/>
        </w:rPr>
        <w:t>区域</w:t>
      </w:r>
      <w:r>
        <w:rPr>
          <w:color w:val="auto"/>
          <w:sz w:val="32"/>
          <w:szCs w:val="32"/>
        </w:rPr>
        <w:t>共建共享及其他适宜的处置方式，原则上不单独建设生活垃圾焚烧发电处理设施。加快现有设施的改造升级，逐步缩小地区间生活垃圾处理水平差异。</w:t>
      </w:r>
      <w:r>
        <w:rPr>
          <w:rFonts w:hint="eastAsia"/>
          <w:color w:val="auto"/>
          <w:kern w:val="0"/>
          <w:sz w:val="32"/>
          <w:szCs w:val="32"/>
        </w:rPr>
        <w:t>2018—2030年，新建和扩建</w:t>
      </w:r>
      <w:r>
        <w:rPr>
          <w:color w:val="auto"/>
          <w:kern w:val="0"/>
          <w:sz w:val="32"/>
          <w:szCs w:val="32"/>
        </w:rPr>
        <w:t>成都金堂、成都宝林、德阳绵竹、自贡荣县、乐山犍为、遂宁射洪、泸州泸县、广元青川等</w:t>
      </w:r>
      <w:r>
        <w:rPr>
          <w:rFonts w:hint="eastAsia"/>
          <w:color w:val="auto"/>
          <w:kern w:val="0"/>
          <w:sz w:val="32"/>
          <w:szCs w:val="32"/>
          <w:lang w:val="en-US" w:eastAsia="zh-CN"/>
        </w:rPr>
        <w:t>62</w:t>
      </w:r>
      <w:r>
        <w:rPr>
          <w:rFonts w:hint="eastAsia"/>
          <w:color w:val="auto"/>
          <w:kern w:val="0"/>
          <w:sz w:val="32"/>
          <w:szCs w:val="32"/>
        </w:rPr>
        <w:t>个</w:t>
      </w:r>
      <w:r>
        <w:rPr>
          <w:color w:val="auto"/>
          <w:kern w:val="0"/>
          <w:sz w:val="32"/>
          <w:szCs w:val="32"/>
        </w:rPr>
        <w:t>生活垃圾焚烧发电</w:t>
      </w:r>
      <w:r>
        <w:rPr>
          <w:rFonts w:hint="eastAsia"/>
          <w:color w:val="auto"/>
          <w:kern w:val="0"/>
          <w:sz w:val="32"/>
          <w:szCs w:val="32"/>
        </w:rPr>
        <w:t>项目</w:t>
      </w:r>
      <w:r>
        <w:rPr>
          <w:color w:val="auto"/>
          <w:sz w:val="32"/>
          <w:szCs w:val="32"/>
        </w:rPr>
        <w:t>。</w:t>
      </w:r>
    </w:p>
    <w:p>
      <w:pPr>
        <w:pStyle w:val="9"/>
        <w:spacing w:line="580" w:lineRule="exact"/>
        <w:ind w:firstLine="643"/>
        <w:rPr>
          <w:color w:val="auto"/>
          <w:sz w:val="32"/>
          <w:szCs w:val="32"/>
        </w:rPr>
      </w:pPr>
      <w:r>
        <w:rPr>
          <w:b/>
          <w:color w:val="auto"/>
          <w:sz w:val="32"/>
          <w:szCs w:val="32"/>
        </w:rPr>
        <w:t>强化工艺创新。</w:t>
      </w:r>
      <w:r>
        <w:rPr>
          <w:color w:val="auto"/>
          <w:sz w:val="32"/>
          <w:szCs w:val="32"/>
        </w:rPr>
        <w:t>因地制宜选择技术先进、成熟可靠、节能环保，对当地生活垃圾特性适应性强的焚烧炉，保证额定处理能力。加快利用先进适用技术改造现有生活垃圾处理设施，提升焚烧技术装备对垃圾特性的适应性、长期运行</w:t>
      </w:r>
      <w:r>
        <w:rPr>
          <w:rFonts w:hint="eastAsia"/>
          <w:color w:val="auto"/>
          <w:sz w:val="32"/>
          <w:szCs w:val="32"/>
          <w:lang w:eastAsia="zh-CN"/>
        </w:rPr>
        <w:t>的</w:t>
      </w:r>
      <w:r>
        <w:rPr>
          <w:color w:val="auto"/>
          <w:sz w:val="32"/>
          <w:szCs w:val="32"/>
        </w:rPr>
        <w:t>可靠性，提高能源利用效率</w:t>
      </w:r>
      <w:r>
        <w:rPr>
          <w:rFonts w:hint="eastAsia"/>
          <w:color w:val="auto"/>
          <w:sz w:val="32"/>
          <w:szCs w:val="32"/>
          <w:lang w:eastAsia="zh-CN"/>
        </w:rPr>
        <w:t>，控制</w:t>
      </w:r>
      <w:r>
        <w:rPr>
          <w:color w:val="auto"/>
          <w:sz w:val="32"/>
          <w:szCs w:val="32"/>
        </w:rPr>
        <w:t>污染物</w:t>
      </w:r>
      <w:r>
        <w:rPr>
          <w:rFonts w:hint="eastAsia"/>
          <w:color w:val="auto"/>
          <w:sz w:val="32"/>
          <w:szCs w:val="32"/>
          <w:lang w:eastAsia="zh-CN"/>
        </w:rPr>
        <w:t>和温室气体</w:t>
      </w:r>
      <w:r>
        <w:rPr>
          <w:color w:val="auto"/>
          <w:sz w:val="32"/>
          <w:szCs w:val="32"/>
        </w:rPr>
        <w:t>排放。加强对清洁焚烧、二</w:t>
      </w:r>
      <w:r>
        <w:rPr>
          <w:rFonts w:hint="eastAsia" w:ascii="仿宋_GB2312" w:hAnsi="仿宋_GB2312" w:eastAsia="仿宋_GB2312" w:cs="仿宋_GB2312"/>
          <w:color w:val="auto"/>
          <w:sz w:val="32"/>
          <w:szCs w:val="32"/>
        </w:rPr>
        <w:t>噁</w:t>
      </w:r>
      <w:r>
        <w:rPr>
          <w:rFonts w:hint="eastAsia" w:ascii="仿宋_GB2312" w:hAnsi="仿宋_GB2312" w:cs="仿宋_GB2312"/>
          <w:color w:val="auto"/>
          <w:sz w:val="32"/>
          <w:szCs w:val="32"/>
        </w:rPr>
        <w:t>英</w:t>
      </w:r>
      <w:r>
        <w:rPr>
          <w:color w:val="auto"/>
          <w:sz w:val="32"/>
          <w:szCs w:val="32"/>
        </w:rPr>
        <w:t>控制、飞灰安全处置等关键性技术和标准的研究、创新、示范和推广应用，组织实施关键技术与设备研发及关键装备产业化示范工程。支持骨干企业和高等院校、科研院所联合组建生活垃圾焚烧技术创新联盟及技术应用服务平台。</w:t>
      </w:r>
      <w:r>
        <w:rPr>
          <w:rFonts w:hint="eastAsia"/>
          <w:color w:val="auto"/>
          <w:sz w:val="32"/>
          <w:szCs w:val="32"/>
        </w:rPr>
        <w:t>确保</w:t>
      </w:r>
      <w:r>
        <w:rPr>
          <w:color w:val="auto"/>
          <w:sz w:val="32"/>
          <w:szCs w:val="32"/>
        </w:rPr>
        <w:t>环保</w:t>
      </w:r>
      <w:r>
        <w:rPr>
          <w:rFonts w:hint="eastAsia"/>
          <w:color w:val="auto"/>
          <w:sz w:val="32"/>
          <w:szCs w:val="32"/>
          <w:lang w:eastAsia="zh-CN"/>
        </w:rPr>
        <w:t>达标</w:t>
      </w:r>
      <w:r>
        <w:rPr>
          <w:color w:val="auto"/>
          <w:sz w:val="32"/>
          <w:szCs w:val="32"/>
        </w:rPr>
        <w:t>的前提下，探索</w:t>
      </w:r>
      <w:r>
        <w:rPr>
          <w:rFonts w:hint="eastAsia"/>
          <w:color w:val="auto"/>
          <w:sz w:val="32"/>
          <w:szCs w:val="32"/>
        </w:rPr>
        <w:t>“城乡一体化</w:t>
      </w:r>
      <w:r>
        <w:rPr>
          <w:color w:val="auto"/>
          <w:sz w:val="32"/>
          <w:szCs w:val="32"/>
        </w:rPr>
        <w:t>生物质发电</w:t>
      </w:r>
      <w:r>
        <w:rPr>
          <w:rFonts w:hint="eastAsia"/>
          <w:color w:val="auto"/>
          <w:sz w:val="32"/>
          <w:szCs w:val="32"/>
        </w:rPr>
        <w:t>模式”</w:t>
      </w:r>
      <w:r>
        <w:rPr>
          <w:color w:val="auto"/>
          <w:sz w:val="32"/>
          <w:szCs w:val="32"/>
        </w:rPr>
        <w:t>，在全省建设2—3座小型化垃圾焚烧发电</w:t>
      </w:r>
      <w:r>
        <w:rPr>
          <w:rFonts w:hint="eastAsia"/>
          <w:color w:val="auto"/>
          <w:sz w:val="32"/>
          <w:szCs w:val="32"/>
        </w:rPr>
        <w:t>与</w:t>
      </w:r>
      <w:r>
        <w:rPr>
          <w:color w:val="auto"/>
          <w:sz w:val="32"/>
          <w:szCs w:val="32"/>
        </w:rPr>
        <w:t>生物质发电“</w:t>
      </w:r>
      <w:r>
        <w:rPr>
          <w:rFonts w:hint="eastAsia"/>
          <w:color w:val="auto"/>
          <w:sz w:val="32"/>
          <w:szCs w:val="32"/>
        </w:rPr>
        <w:t>一站式</w:t>
      </w:r>
      <w:r>
        <w:rPr>
          <w:color w:val="auto"/>
          <w:sz w:val="32"/>
          <w:szCs w:val="32"/>
        </w:rPr>
        <w:t>”</w:t>
      </w:r>
      <w:r>
        <w:rPr>
          <w:rFonts w:hint="eastAsia"/>
          <w:color w:val="auto"/>
          <w:sz w:val="32"/>
          <w:szCs w:val="32"/>
        </w:rPr>
        <w:t>处理</w:t>
      </w:r>
      <w:r>
        <w:rPr>
          <w:color w:val="auto"/>
          <w:sz w:val="32"/>
          <w:szCs w:val="32"/>
        </w:rPr>
        <w:t>示范设施</w:t>
      </w:r>
      <w:r>
        <w:rPr>
          <w:rFonts w:hint="eastAsia"/>
          <w:color w:val="auto"/>
          <w:sz w:val="32"/>
          <w:szCs w:val="32"/>
        </w:rPr>
        <w:t>，解决</w:t>
      </w:r>
      <w:r>
        <w:rPr>
          <w:rFonts w:hint="eastAsia"/>
          <w:color w:val="auto"/>
          <w:sz w:val="32"/>
          <w:szCs w:val="32"/>
          <w:lang w:eastAsia="zh-CN"/>
        </w:rPr>
        <w:t>生活垃圾供应量不足的问题</w:t>
      </w:r>
      <w:r>
        <w:rPr>
          <w:color w:val="auto"/>
          <w:sz w:val="32"/>
          <w:szCs w:val="32"/>
        </w:rPr>
        <w:t>。</w:t>
      </w:r>
    </w:p>
    <w:p>
      <w:pPr>
        <w:pStyle w:val="9"/>
        <w:spacing w:line="580" w:lineRule="exact"/>
        <w:ind w:firstLine="643"/>
        <w:rPr>
          <w:rFonts w:eastAsia="楷体_GB2312"/>
          <w:color w:val="auto"/>
          <w:szCs w:val="32"/>
        </w:rPr>
      </w:pPr>
      <w:r>
        <w:rPr>
          <w:b/>
          <w:bCs/>
          <w:color w:val="auto"/>
          <w:sz w:val="32"/>
          <w:szCs w:val="32"/>
        </w:rPr>
        <w:t>加强安全处置。</w:t>
      </w:r>
      <w:r>
        <w:rPr>
          <w:color w:val="auto"/>
          <w:kern w:val="0"/>
          <w:sz w:val="32"/>
          <w:szCs w:val="32"/>
        </w:rPr>
        <w:t>生活垃圾焚烧发电设施要同步落实飞灰的安全、无害化处置场所，</w:t>
      </w:r>
      <w:r>
        <w:rPr>
          <w:color w:val="auto"/>
          <w:sz w:val="32"/>
          <w:szCs w:val="32"/>
        </w:rPr>
        <w:t>防止产生二次污染</w:t>
      </w:r>
      <w:r>
        <w:rPr>
          <w:color w:val="auto"/>
          <w:kern w:val="0"/>
          <w:sz w:val="32"/>
          <w:szCs w:val="32"/>
        </w:rPr>
        <w:t>。</w:t>
      </w:r>
      <w:r>
        <w:rPr>
          <w:color w:val="auto"/>
          <w:sz w:val="32"/>
          <w:szCs w:val="32"/>
        </w:rPr>
        <w:t>焚烧炉渣和除尘设备收集的焚烧飞灰应当分别收集、贮存、运输和处理处置。严格按照国家危险废物相关管理规定，对焚烧飞灰进行运输和无害化安全处置。焚烧飞灰达到相应标准后进入生活垃圾填埋场填埋或</w:t>
      </w:r>
      <w:r>
        <w:rPr>
          <w:rFonts w:hint="eastAsia"/>
          <w:color w:val="auto"/>
          <w:sz w:val="32"/>
          <w:szCs w:val="32"/>
        </w:rPr>
        <w:t>鼓励</w:t>
      </w:r>
      <w:r>
        <w:rPr>
          <w:color w:val="auto"/>
          <w:sz w:val="32"/>
          <w:szCs w:val="32"/>
        </w:rPr>
        <w:t>水泥窑协同处置。在有条件的地区采取生活垃圾焚烧发电与餐厨垃圾、污泥处理协同处置等有机结合的综合处理方式，建设资源循环利用基地</w:t>
      </w:r>
      <w:r>
        <w:rPr>
          <w:color w:val="auto"/>
          <w:spacing w:val="-3"/>
          <w:sz w:val="32"/>
          <w:szCs w:val="32"/>
        </w:rPr>
        <w:t>，实行园区化管</w:t>
      </w:r>
      <w:r>
        <w:rPr>
          <w:color w:val="auto"/>
          <w:sz w:val="32"/>
          <w:szCs w:val="32"/>
        </w:rPr>
        <w:t>理</w:t>
      </w:r>
      <w:r>
        <w:rPr>
          <w:color w:val="auto"/>
          <w:spacing w:val="-3"/>
          <w:sz w:val="32"/>
          <w:szCs w:val="32"/>
        </w:rPr>
        <w:t>，促进能源梯级分质利用，实现“近零排放”。</w:t>
      </w:r>
    </w:p>
    <w:p>
      <w:pPr>
        <w:pStyle w:val="3"/>
        <w:spacing w:before="0" w:after="0" w:line="580" w:lineRule="exact"/>
        <w:ind w:firstLine="480" w:firstLineChars="150"/>
        <w:rPr>
          <w:rFonts w:ascii="Times New Roman" w:hAnsi="Times New Roman" w:eastAsia="仿宋_GB2312"/>
          <w:color w:val="auto"/>
          <w:szCs w:val="32"/>
        </w:rPr>
      </w:pPr>
      <w:bookmarkStart w:id="21" w:name="_Toc1569712"/>
      <w:bookmarkStart w:id="22" w:name="_Toc343262137"/>
      <w:r>
        <w:rPr>
          <w:rFonts w:ascii="Times New Roman" w:hAnsi="Times New Roman" w:eastAsia="楷体_GB2312"/>
          <w:color w:val="auto"/>
          <w:szCs w:val="32"/>
        </w:rPr>
        <w:t>（二）强化垃圾前端</w:t>
      </w:r>
      <w:r>
        <w:rPr>
          <w:rFonts w:hint="eastAsia" w:ascii="Times New Roman" w:hAnsi="Times New Roman" w:eastAsia="楷体_GB2312"/>
          <w:color w:val="auto"/>
          <w:szCs w:val="32"/>
        </w:rPr>
        <w:t>收集</w:t>
      </w:r>
      <w:r>
        <w:rPr>
          <w:rFonts w:ascii="Times New Roman" w:hAnsi="Times New Roman" w:eastAsia="楷体_GB2312"/>
          <w:color w:val="auto"/>
          <w:szCs w:val="32"/>
        </w:rPr>
        <w:t>，创造垃圾资源化利用良好条件</w:t>
      </w:r>
      <w:bookmarkEnd w:id="21"/>
    </w:p>
    <w:p>
      <w:pPr>
        <w:pStyle w:val="9"/>
        <w:spacing w:line="580" w:lineRule="exact"/>
        <w:ind w:firstLine="643"/>
        <w:rPr>
          <w:color w:val="auto"/>
          <w:sz w:val="32"/>
          <w:szCs w:val="32"/>
        </w:rPr>
      </w:pPr>
      <w:r>
        <w:rPr>
          <w:b/>
          <w:color w:val="auto"/>
          <w:kern w:val="0"/>
          <w:sz w:val="32"/>
          <w:szCs w:val="32"/>
        </w:rPr>
        <w:t>完善收运体系</w:t>
      </w:r>
      <w:r>
        <w:rPr>
          <w:color w:val="auto"/>
          <w:kern w:val="0"/>
          <w:sz w:val="32"/>
          <w:szCs w:val="32"/>
        </w:rPr>
        <w:t>。</w:t>
      </w:r>
      <w:r>
        <w:rPr>
          <w:color w:val="auto"/>
          <w:sz w:val="32"/>
          <w:szCs w:val="32"/>
        </w:rPr>
        <w:t>加大城镇生活垃圾收集力度，提高收集率和收运效率，扩大收集覆盖面。根据垃圾焚烧发电设施的服务半径和覆盖范围，规范和完善前端收集点（站）布局和建设标准，建立</w:t>
      </w:r>
      <w:r>
        <w:rPr>
          <w:color w:val="auto"/>
          <w:spacing w:val="8"/>
          <w:kern w:val="0"/>
          <w:sz w:val="32"/>
          <w:szCs w:val="32"/>
        </w:rPr>
        <w:t>健全城乡生活垃圾收运网络体系。</w:t>
      </w:r>
      <w:r>
        <w:rPr>
          <w:color w:val="auto"/>
          <w:sz w:val="32"/>
          <w:szCs w:val="32"/>
        </w:rPr>
        <w:t>积极推广城镇生活垃圾压缩式、封闭式收转运方式，</w:t>
      </w:r>
      <w:r>
        <w:rPr>
          <w:color w:val="auto"/>
          <w:kern w:val="0"/>
          <w:sz w:val="32"/>
          <w:szCs w:val="32"/>
        </w:rPr>
        <w:t>统筹布局生活垃圾转运站，</w:t>
      </w:r>
      <w:r>
        <w:rPr>
          <w:color w:val="auto"/>
          <w:sz w:val="32"/>
          <w:szCs w:val="32"/>
        </w:rPr>
        <w:t>加强压缩式生活垃圾转运站建设与升级改造。</w:t>
      </w:r>
      <w:r>
        <w:rPr>
          <w:color w:val="auto"/>
          <w:spacing w:val="8"/>
          <w:kern w:val="0"/>
          <w:sz w:val="32"/>
          <w:szCs w:val="32"/>
        </w:rPr>
        <w:t>积极运用</w:t>
      </w:r>
      <w:r>
        <w:rPr>
          <w:rFonts w:hint="eastAsia"/>
          <w:color w:val="auto"/>
          <w:spacing w:val="8"/>
          <w:kern w:val="0"/>
          <w:sz w:val="32"/>
          <w:szCs w:val="32"/>
          <w:lang w:eastAsia="zh-CN"/>
        </w:rPr>
        <w:t>大数据</w:t>
      </w:r>
      <w:r>
        <w:rPr>
          <w:color w:val="auto"/>
          <w:spacing w:val="8"/>
          <w:kern w:val="0"/>
          <w:sz w:val="32"/>
          <w:szCs w:val="32"/>
        </w:rPr>
        <w:t>物联网技术，探索线路优化、成本合理、高效环保的收运新模式</w:t>
      </w:r>
      <w:r>
        <w:rPr>
          <w:color w:val="auto"/>
          <w:sz w:val="32"/>
          <w:szCs w:val="32"/>
        </w:rPr>
        <w:t>。</w:t>
      </w:r>
    </w:p>
    <w:p>
      <w:pPr>
        <w:pStyle w:val="9"/>
        <w:spacing w:line="580" w:lineRule="exact"/>
        <w:ind w:firstLine="643"/>
        <w:rPr>
          <w:color w:val="auto"/>
          <w:kern w:val="0"/>
          <w:sz w:val="32"/>
          <w:szCs w:val="32"/>
        </w:rPr>
      </w:pPr>
      <w:r>
        <w:rPr>
          <w:rFonts w:hint="eastAsia"/>
          <w:b/>
          <w:color w:val="auto"/>
          <w:kern w:val="0"/>
          <w:sz w:val="32"/>
          <w:szCs w:val="32"/>
        </w:rPr>
        <w:t>推进垃圾减量</w:t>
      </w:r>
      <w:r>
        <w:rPr>
          <w:b/>
          <w:color w:val="auto"/>
          <w:kern w:val="0"/>
          <w:sz w:val="32"/>
          <w:szCs w:val="32"/>
        </w:rPr>
        <w:t>。</w:t>
      </w:r>
      <w:r>
        <w:rPr>
          <w:rFonts w:hint="eastAsia"/>
          <w:color w:val="auto"/>
          <w:spacing w:val="8"/>
          <w:kern w:val="0"/>
          <w:sz w:val="32"/>
          <w:szCs w:val="32"/>
        </w:rPr>
        <w:t>以</w:t>
      </w:r>
      <w:r>
        <w:rPr>
          <w:color w:val="auto"/>
          <w:spacing w:val="8"/>
          <w:kern w:val="0"/>
          <w:sz w:val="32"/>
          <w:szCs w:val="32"/>
        </w:rPr>
        <w:t>成都、德阳、广元等</w:t>
      </w:r>
      <w:r>
        <w:rPr>
          <w:rFonts w:hint="eastAsia"/>
          <w:color w:val="auto"/>
          <w:spacing w:val="8"/>
          <w:kern w:val="0"/>
          <w:sz w:val="32"/>
          <w:szCs w:val="32"/>
        </w:rPr>
        <w:t>国家</w:t>
      </w:r>
      <w:r>
        <w:rPr>
          <w:color w:val="auto"/>
          <w:spacing w:val="8"/>
          <w:kern w:val="0"/>
          <w:sz w:val="32"/>
          <w:szCs w:val="32"/>
        </w:rPr>
        <w:t>生活垃圾分类示范城市</w:t>
      </w:r>
      <w:r>
        <w:rPr>
          <w:rFonts w:hint="eastAsia"/>
          <w:color w:val="auto"/>
          <w:spacing w:val="8"/>
          <w:kern w:val="0"/>
          <w:sz w:val="32"/>
          <w:szCs w:val="32"/>
        </w:rPr>
        <w:t>为重点，加快</w:t>
      </w:r>
      <w:r>
        <w:rPr>
          <w:color w:val="auto"/>
          <w:spacing w:val="8"/>
          <w:kern w:val="0"/>
          <w:sz w:val="32"/>
          <w:szCs w:val="32"/>
        </w:rPr>
        <w:t>实施生活垃圾强制分类，建立与生活垃圾分类、资源化利用、无害化处理等相衔接的收转运体系，</w:t>
      </w:r>
      <w:r>
        <w:rPr>
          <w:rFonts w:hint="eastAsia"/>
          <w:color w:val="auto"/>
          <w:spacing w:val="8"/>
          <w:kern w:val="0"/>
          <w:sz w:val="32"/>
          <w:szCs w:val="32"/>
        </w:rPr>
        <w:t>完善收转运网络，形成的成功经验和典型模式在全省逐步推广。</w:t>
      </w:r>
    </w:p>
    <w:bookmarkEnd w:id="22"/>
    <w:p>
      <w:pPr>
        <w:pStyle w:val="3"/>
        <w:spacing w:before="0" w:after="0" w:line="580" w:lineRule="exact"/>
        <w:ind w:firstLine="480" w:firstLineChars="150"/>
        <w:rPr>
          <w:rFonts w:ascii="Times New Roman" w:hAnsi="Times New Roman" w:eastAsia="仿宋_GB2312"/>
          <w:color w:val="auto"/>
          <w:szCs w:val="32"/>
        </w:rPr>
      </w:pPr>
      <w:bookmarkStart w:id="23" w:name="_Toc343262140"/>
      <w:bookmarkStart w:id="24" w:name="_Toc1569713"/>
      <w:r>
        <w:rPr>
          <w:rFonts w:ascii="Times New Roman" w:hAnsi="Times New Roman" w:eastAsia="楷体_GB2312"/>
          <w:color w:val="auto"/>
          <w:szCs w:val="32"/>
        </w:rPr>
        <w:t>（三）加强监管能力建设</w:t>
      </w:r>
      <w:bookmarkEnd w:id="23"/>
      <w:r>
        <w:rPr>
          <w:rFonts w:ascii="Times New Roman" w:hAnsi="Times New Roman" w:eastAsia="楷体_GB2312"/>
          <w:color w:val="auto"/>
          <w:szCs w:val="32"/>
        </w:rPr>
        <w:t>，确保</w:t>
      </w:r>
      <w:r>
        <w:rPr>
          <w:rFonts w:hint="eastAsia" w:ascii="Times New Roman" w:hAnsi="Times New Roman" w:eastAsia="楷体_GB2312"/>
          <w:color w:val="auto"/>
          <w:szCs w:val="32"/>
        </w:rPr>
        <w:t>焚烧发电</w:t>
      </w:r>
      <w:r>
        <w:rPr>
          <w:rFonts w:ascii="Times New Roman" w:hAnsi="Times New Roman" w:eastAsia="楷体_GB2312"/>
          <w:color w:val="auto"/>
          <w:szCs w:val="32"/>
        </w:rPr>
        <w:t>设施规范运行</w:t>
      </w:r>
      <w:bookmarkEnd w:id="24"/>
    </w:p>
    <w:p>
      <w:pPr>
        <w:pStyle w:val="9"/>
        <w:spacing w:line="580" w:lineRule="exact"/>
        <w:ind w:firstLine="643"/>
        <w:rPr>
          <w:color w:val="auto"/>
          <w:kern w:val="0"/>
          <w:sz w:val="32"/>
          <w:szCs w:val="32"/>
        </w:rPr>
      </w:pPr>
      <w:r>
        <w:rPr>
          <w:b/>
          <w:color w:val="auto"/>
          <w:kern w:val="0"/>
          <w:sz w:val="32"/>
          <w:szCs w:val="32"/>
        </w:rPr>
        <w:t>规范建设运营</w:t>
      </w:r>
      <w:r>
        <w:rPr>
          <w:color w:val="auto"/>
          <w:kern w:val="0"/>
          <w:sz w:val="32"/>
          <w:szCs w:val="32"/>
        </w:rPr>
        <w:t>。</w:t>
      </w:r>
      <w:r>
        <w:rPr>
          <w:snapToGrid/>
          <w:color w:val="auto"/>
          <w:sz w:val="32"/>
          <w:szCs w:val="32"/>
        </w:rPr>
        <w:t>生活垃圾</w:t>
      </w:r>
      <w:r>
        <w:rPr>
          <w:color w:val="auto"/>
          <w:sz w:val="32"/>
          <w:szCs w:val="32"/>
        </w:rPr>
        <w:t>焚烧</w:t>
      </w:r>
      <w:r>
        <w:rPr>
          <w:snapToGrid/>
          <w:color w:val="auto"/>
          <w:sz w:val="32"/>
          <w:szCs w:val="32"/>
        </w:rPr>
        <w:t>发电设施的建设和运营，要</w:t>
      </w:r>
      <w:r>
        <w:rPr>
          <w:rFonts w:hint="eastAsia"/>
          <w:snapToGrid/>
          <w:color w:val="auto"/>
          <w:sz w:val="32"/>
          <w:szCs w:val="32"/>
        </w:rPr>
        <w:t>严格执行国家、</w:t>
      </w:r>
      <w:r>
        <w:rPr>
          <w:rFonts w:hint="eastAsia"/>
          <w:snapToGrid/>
          <w:color w:val="auto"/>
          <w:sz w:val="32"/>
          <w:szCs w:val="32"/>
          <w:lang w:eastAsia="zh-CN"/>
        </w:rPr>
        <w:t>四川</w:t>
      </w:r>
      <w:r>
        <w:rPr>
          <w:rFonts w:hint="eastAsia"/>
          <w:snapToGrid/>
          <w:color w:val="auto"/>
          <w:sz w:val="32"/>
          <w:szCs w:val="32"/>
        </w:rPr>
        <w:t>省相关建设标准、技术标准和环保标准，区域环境质量不达标的，生活垃圾焚烧应优先采用执行国际上更加严格的生活垃圾焚烧污染控制标准</w:t>
      </w:r>
      <w:r>
        <w:rPr>
          <w:snapToGrid/>
          <w:color w:val="auto"/>
          <w:sz w:val="32"/>
          <w:szCs w:val="32"/>
        </w:rPr>
        <w:t>，配备完善的污染控制及监控设施</w:t>
      </w:r>
      <w:r>
        <w:rPr>
          <w:color w:val="auto"/>
          <w:sz w:val="32"/>
          <w:szCs w:val="32"/>
        </w:rPr>
        <w:t>。</w:t>
      </w:r>
      <w:r>
        <w:rPr>
          <w:color w:val="auto"/>
          <w:kern w:val="0"/>
          <w:sz w:val="32"/>
          <w:szCs w:val="32"/>
        </w:rPr>
        <w:t>鼓励和引导专业化企业规范建设和运营，进一步规范生活垃圾焚烧发电特许经营权招投标管理。加强对已建成运营的生活垃圾焚烧发电设施运营状况和处理效果的监管，开展年度评价考核，公开评价考核结果，接受社会监督。提高生活垃圾</w:t>
      </w:r>
      <w:r>
        <w:rPr>
          <w:color w:val="auto"/>
          <w:sz w:val="32"/>
          <w:szCs w:val="32"/>
        </w:rPr>
        <w:t>焚烧</w:t>
      </w:r>
      <w:r>
        <w:rPr>
          <w:color w:val="auto"/>
          <w:kern w:val="0"/>
          <w:sz w:val="32"/>
          <w:szCs w:val="32"/>
        </w:rPr>
        <w:t>发电设施建设和运营信息透明度，探索引入第三方专业机构实施监管，提高科学监管水平。</w:t>
      </w:r>
    </w:p>
    <w:p>
      <w:pPr>
        <w:pStyle w:val="9"/>
        <w:spacing w:line="580" w:lineRule="exact"/>
        <w:ind w:firstLine="643"/>
        <w:rPr>
          <w:color w:val="auto"/>
          <w:kern w:val="0"/>
          <w:sz w:val="32"/>
          <w:szCs w:val="32"/>
        </w:rPr>
      </w:pPr>
      <w:r>
        <w:rPr>
          <w:b/>
          <w:color w:val="auto"/>
          <w:kern w:val="0"/>
          <w:sz w:val="32"/>
          <w:szCs w:val="32"/>
        </w:rPr>
        <w:t>健全监管设施</w:t>
      </w:r>
      <w:r>
        <w:rPr>
          <w:color w:val="auto"/>
          <w:kern w:val="0"/>
          <w:sz w:val="32"/>
          <w:szCs w:val="32"/>
        </w:rPr>
        <w:t>。充分利用已有数字化城市管理信息系统、市政公用设施监管系统和环境监管系统，完善生活垃圾焚烧发电设施建设、运营和排放监管体系。生活垃圾焚烧发电设施应安装排放自动监控系统和超标报警装置，加快推进运营过程实时监控，确保实时监控装置稳定运行。</w:t>
      </w:r>
    </w:p>
    <w:p>
      <w:pPr>
        <w:pStyle w:val="33"/>
        <w:shd w:val="clear" w:color="auto" w:fill="FFFFFF"/>
        <w:spacing w:before="0" w:beforeAutospacing="0" w:after="0" w:afterAutospacing="0" w:line="580" w:lineRule="exact"/>
        <w:ind w:firstLine="602"/>
        <w:jc w:val="both"/>
        <w:rPr>
          <w:rFonts w:ascii="Times New Roman" w:hAnsi="Times New Roman" w:cs="Times New Roman"/>
          <w:color w:val="auto"/>
          <w:sz w:val="32"/>
          <w:szCs w:val="32"/>
        </w:rPr>
      </w:pPr>
      <w:r>
        <w:rPr>
          <w:rFonts w:ascii="Times New Roman" w:hAnsi="Times New Roman" w:eastAsia="仿宋_GB2312" w:cs="Times New Roman"/>
          <w:b/>
          <w:snapToGrid w:val="0"/>
          <w:color w:val="auto"/>
          <w:kern w:val="10"/>
          <w:sz w:val="32"/>
          <w:szCs w:val="32"/>
        </w:rPr>
        <w:t>加强排放监管。</w:t>
      </w:r>
      <w:r>
        <w:rPr>
          <w:rFonts w:ascii="Times New Roman" w:hAnsi="Times New Roman" w:eastAsia="仿宋_GB2312" w:cs="Times New Roman"/>
          <w:snapToGrid w:val="0"/>
          <w:color w:val="auto"/>
          <w:kern w:val="10"/>
          <w:sz w:val="32"/>
          <w:szCs w:val="32"/>
        </w:rPr>
        <w:t>加强生活垃圾焚烧发电设施建设和运营信息统计。重点对焚烧厂主要设施运行状况等进行实时监控，加强对焚烧设施烟气、渗滤液和渗漏情况的监测。</w:t>
      </w:r>
    </w:p>
    <w:p>
      <w:pPr>
        <w:pStyle w:val="2"/>
        <w:spacing w:before="0" w:after="0" w:line="580" w:lineRule="exact"/>
        <w:ind w:left="643"/>
        <w:rPr>
          <w:b w:val="0"/>
          <w:bCs/>
          <w:color w:val="auto"/>
          <w:kern w:val="0"/>
          <w:sz w:val="32"/>
          <w:szCs w:val="32"/>
        </w:rPr>
      </w:pPr>
      <w:bookmarkStart w:id="25" w:name="_Toc1569714"/>
      <w:r>
        <w:rPr>
          <w:rFonts w:eastAsia="黑体"/>
          <w:b w:val="0"/>
          <w:bCs/>
          <w:color w:val="auto"/>
          <w:sz w:val="32"/>
          <w:szCs w:val="32"/>
        </w:rPr>
        <w:t>四、重点项目</w:t>
      </w:r>
      <w:bookmarkEnd w:id="25"/>
      <w:r>
        <w:rPr>
          <w:rFonts w:eastAsia="黑体"/>
          <w:b w:val="0"/>
          <w:bCs/>
          <w:color w:val="auto"/>
          <w:sz w:val="32"/>
          <w:szCs w:val="32"/>
        </w:rPr>
        <w:t xml:space="preserve"> </w:t>
      </w:r>
    </w:p>
    <w:p>
      <w:pPr>
        <w:pStyle w:val="3"/>
        <w:spacing w:before="0" w:after="0" w:line="580" w:lineRule="exact"/>
        <w:ind w:firstLine="480" w:firstLineChars="150"/>
        <w:rPr>
          <w:rFonts w:ascii="Times New Roman" w:hAnsi="Times New Roman" w:eastAsia="楷体_GB2312"/>
          <w:color w:val="auto"/>
          <w:szCs w:val="32"/>
        </w:rPr>
      </w:pPr>
      <w:bookmarkStart w:id="26" w:name="_Toc1569715"/>
      <w:r>
        <w:rPr>
          <w:rFonts w:ascii="Times New Roman" w:hAnsi="Times New Roman" w:eastAsia="楷体_GB2312"/>
          <w:color w:val="auto"/>
          <w:szCs w:val="32"/>
        </w:rPr>
        <w:t>（一）项目分布</w:t>
      </w:r>
      <w:bookmarkEnd w:id="26"/>
    </w:p>
    <w:p>
      <w:pPr>
        <w:pStyle w:val="9"/>
        <w:spacing w:line="580" w:lineRule="exact"/>
        <w:ind w:firstLine="640"/>
        <w:rPr>
          <w:rFonts w:hint="eastAsia"/>
          <w:color w:val="auto"/>
          <w:kern w:val="0"/>
          <w:sz w:val="32"/>
          <w:szCs w:val="32"/>
        </w:rPr>
      </w:pPr>
      <w:r>
        <w:rPr>
          <w:color w:val="auto"/>
          <w:sz w:val="32"/>
          <w:szCs w:val="32"/>
        </w:rPr>
        <w:t>2018—2020年，</w:t>
      </w:r>
      <w:r>
        <w:rPr>
          <w:color w:val="auto"/>
          <w:kern w:val="0"/>
          <w:sz w:val="32"/>
          <w:szCs w:val="32"/>
        </w:rPr>
        <w:t>优先在经济条件较好、人口基数大、土地资源紧缺、城市化程度较高的城市建设</w:t>
      </w:r>
      <w:r>
        <w:rPr>
          <w:rFonts w:hint="eastAsia"/>
          <w:color w:val="auto"/>
          <w:kern w:val="0"/>
          <w:sz w:val="32"/>
          <w:szCs w:val="32"/>
        </w:rPr>
        <w:t>生活</w:t>
      </w:r>
      <w:r>
        <w:rPr>
          <w:color w:val="auto"/>
          <w:kern w:val="0"/>
          <w:sz w:val="32"/>
          <w:szCs w:val="32"/>
        </w:rPr>
        <w:t>垃圾焚烧发电</w:t>
      </w:r>
      <w:r>
        <w:rPr>
          <w:rFonts w:hint="eastAsia"/>
          <w:color w:val="auto"/>
          <w:kern w:val="0"/>
          <w:sz w:val="32"/>
          <w:szCs w:val="32"/>
        </w:rPr>
        <w:t>设施</w:t>
      </w:r>
      <w:r>
        <w:rPr>
          <w:color w:val="auto"/>
          <w:kern w:val="0"/>
          <w:sz w:val="32"/>
          <w:szCs w:val="32"/>
        </w:rPr>
        <w:t>，重点规划新建</w:t>
      </w:r>
      <w:r>
        <w:rPr>
          <w:rFonts w:hint="eastAsia"/>
          <w:color w:val="auto"/>
          <w:kern w:val="0"/>
          <w:sz w:val="32"/>
          <w:szCs w:val="32"/>
        </w:rPr>
        <w:t>生活</w:t>
      </w:r>
      <w:r>
        <w:rPr>
          <w:color w:val="auto"/>
          <w:kern w:val="0"/>
          <w:sz w:val="32"/>
          <w:szCs w:val="32"/>
        </w:rPr>
        <w:t>垃圾焚烧发电项目</w:t>
      </w:r>
      <w:r>
        <w:rPr>
          <w:rFonts w:hint="eastAsia"/>
          <w:color w:val="auto"/>
          <w:kern w:val="0"/>
          <w:sz w:val="32"/>
          <w:szCs w:val="32"/>
          <w:lang w:val="en-US" w:eastAsia="zh-CN"/>
        </w:rPr>
        <w:t>22</w:t>
      </w:r>
      <w:r>
        <w:rPr>
          <w:rFonts w:hint="eastAsia"/>
          <w:color w:val="auto"/>
          <w:kern w:val="0"/>
          <w:sz w:val="32"/>
          <w:szCs w:val="32"/>
        </w:rPr>
        <w:t>个、</w:t>
      </w:r>
      <w:r>
        <w:rPr>
          <w:color w:val="auto"/>
          <w:kern w:val="0"/>
          <w:sz w:val="32"/>
          <w:szCs w:val="32"/>
        </w:rPr>
        <w:t>扩建</w:t>
      </w:r>
      <w:r>
        <w:rPr>
          <w:rFonts w:hint="eastAsia"/>
          <w:color w:val="auto"/>
          <w:kern w:val="0"/>
          <w:sz w:val="32"/>
          <w:szCs w:val="32"/>
          <w:lang w:val="en-US" w:eastAsia="zh-CN"/>
        </w:rPr>
        <w:t>8</w:t>
      </w:r>
      <w:r>
        <w:rPr>
          <w:color w:val="auto"/>
          <w:kern w:val="0"/>
          <w:sz w:val="32"/>
          <w:szCs w:val="32"/>
        </w:rPr>
        <w:t>个</w:t>
      </w:r>
      <w:r>
        <w:rPr>
          <w:rFonts w:hint="eastAsia"/>
          <w:color w:val="auto"/>
          <w:kern w:val="0"/>
          <w:sz w:val="32"/>
          <w:szCs w:val="32"/>
        </w:rPr>
        <w:t>。</w:t>
      </w:r>
    </w:p>
    <w:p>
      <w:pPr>
        <w:pStyle w:val="9"/>
        <w:spacing w:line="580" w:lineRule="exact"/>
        <w:ind w:firstLine="640"/>
        <w:rPr>
          <w:rFonts w:hint="eastAsia"/>
          <w:color w:val="auto"/>
          <w:sz w:val="32"/>
          <w:szCs w:val="32"/>
        </w:rPr>
      </w:pPr>
      <w:r>
        <w:rPr>
          <w:color w:val="auto"/>
          <w:kern w:val="0"/>
          <w:sz w:val="32"/>
          <w:szCs w:val="32"/>
        </w:rPr>
        <w:t>2021—2030年，</w:t>
      </w:r>
      <w:r>
        <w:rPr>
          <w:rFonts w:hint="eastAsia"/>
          <w:color w:val="auto"/>
          <w:kern w:val="0"/>
          <w:sz w:val="32"/>
          <w:szCs w:val="32"/>
        </w:rPr>
        <w:t>优先在收运体系完善的县城，采</w:t>
      </w:r>
      <w:r>
        <w:rPr>
          <w:rFonts w:hint="eastAsia"/>
          <w:color w:val="auto"/>
          <w:sz w:val="32"/>
          <w:szCs w:val="32"/>
        </w:rPr>
        <w:t>取联建共享方式建设</w:t>
      </w:r>
      <w:r>
        <w:rPr>
          <w:rFonts w:hint="eastAsia"/>
          <w:color w:val="auto"/>
          <w:kern w:val="0"/>
          <w:sz w:val="32"/>
          <w:szCs w:val="32"/>
        </w:rPr>
        <w:t>生活垃圾焚烧发电设施，</w:t>
      </w:r>
      <w:r>
        <w:rPr>
          <w:color w:val="auto"/>
          <w:sz w:val="32"/>
          <w:szCs w:val="32"/>
        </w:rPr>
        <w:t>积极探索</w:t>
      </w:r>
      <w:r>
        <w:rPr>
          <w:rFonts w:hint="eastAsia"/>
          <w:color w:val="auto"/>
          <w:sz w:val="32"/>
          <w:szCs w:val="32"/>
          <w:lang w:eastAsia="zh-CN"/>
        </w:rPr>
        <w:t>应用</w:t>
      </w:r>
      <w:r>
        <w:rPr>
          <w:color w:val="auto"/>
          <w:sz w:val="32"/>
          <w:szCs w:val="32"/>
        </w:rPr>
        <w:t>适合较小处理规模的垃圾焚烧</w:t>
      </w:r>
      <w:r>
        <w:rPr>
          <w:rFonts w:hint="eastAsia"/>
          <w:color w:val="auto"/>
          <w:sz w:val="32"/>
          <w:szCs w:val="32"/>
        </w:rPr>
        <w:t>等</w:t>
      </w:r>
      <w:r>
        <w:rPr>
          <w:color w:val="auto"/>
          <w:sz w:val="32"/>
          <w:szCs w:val="32"/>
        </w:rPr>
        <w:t>资源化、减量化工艺，</w:t>
      </w:r>
      <w:r>
        <w:rPr>
          <w:rFonts w:hint="eastAsia"/>
          <w:color w:val="auto"/>
          <w:sz w:val="32"/>
          <w:szCs w:val="32"/>
        </w:rPr>
        <w:t>并</w:t>
      </w:r>
      <w:r>
        <w:rPr>
          <w:color w:val="auto"/>
          <w:sz w:val="32"/>
          <w:szCs w:val="32"/>
        </w:rPr>
        <w:t>根据</w:t>
      </w:r>
      <w:r>
        <w:rPr>
          <w:rFonts w:hint="eastAsia"/>
          <w:color w:val="auto"/>
          <w:sz w:val="32"/>
          <w:szCs w:val="32"/>
        </w:rPr>
        <w:t>已有</w:t>
      </w:r>
      <w:r>
        <w:rPr>
          <w:color w:val="auto"/>
          <w:sz w:val="32"/>
          <w:szCs w:val="32"/>
        </w:rPr>
        <w:t>生活垃圾填埋场服务年限</w:t>
      </w:r>
      <w:r>
        <w:rPr>
          <w:rFonts w:hint="eastAsia"/>
          <w:color w:val="auto"/>
          <w:sz w:val="32"/>
          <w:szCs w:val="32"/>
        </w:rPr>
        <w:t>，</w:t>
      </w:r>
      <w:r>
        <w:rPr>
          <w:color w:val="auto"/>
          <w:kern w:val="0"/>
          <w:sz w:val="32"/>
          <w:szCs w:val="32"/>
        </w:rPr>
        <w:t>分年度逐步实施</w:t>
      </w:r>
      <w:bookmarkStart w:id="58" w:name="_GoBack"/>
      <w:bookmarkEnd w:id="58"/>
      <w:r>
        <w:rPr>
          <w:rFonts w:hint="eastAsia"/>
          <w:color w:val="auto"/>
          <w:kern w:val="0"/>
          <w:sz w:val="32"/>
          <w:szCs w:val="32"/>
        </w:rPr>
        <w:t>，</w:t>
      </w:r>
      <w:r>
        <w:rPr>
          <w:color w:val="auto"/>
          <w:sz w:val="32"/>
          <w:szCs w:val="32"/>
        </w:rPr>
        <w:t>全省</w:t>
      </w:r>
      <w:r>
        <w:rPr>
          <w:rFonts w:hint="eastAsia"/>
          <w:color w:val="auto"/>
          <w:sz w:val="32"/>
          <w:szCs w:val="32"/>
        </w:rPr>
        <w:t>重点</w:t>
      </w:r>
      <w:r>
        <w:rPr>
          <w:color w:val="auto"/>
          <w:sz w:val="32"/>
          <w:szCs w:val="32"/>
        </w:rPr>
        <w:t>规划新建</w:t>
      </w:r>
      <w:r>
        <w:rPr>
          <w:rFonts w:hint="eastAsia"/>
          <w:color w:val="auto"/>
          <w:sz w:val="32"/>
          <w:szCs w:val="32"/>
        </w:rPr>
        <w:t>生活</w:t>
      </w:r>
      <w:r>
        <w:rPr>
          <w:color w:val="auto"/>
          <w:sz w:val="32"/>
          <w:szCs w:val="32"/>
        </w:rPr>
        <w:t>垃圾焚烧发电项目2</w:t>
      </w:r>
      <w:r>
        <w:rPr>
          <w:rFonts w:hint="eastAsia"/>
          <w:color w:val="auto"/>
          <w:sz w:val="32"/>
          <w:szCs w:val="32"/>
          <w:lang w:val="en-US" w:eastAsia="zh-CN"/>
        </w:rPr>
        <w:t>0</w:t>
      </w:r>
      <w:r>
        <w:rPr>
          <w:rFonts w:hint="eastAsia"/>
          <w:color w:val="auto"/>
          <w:sz w:val="32"/>
          <w:szCs w:val="32"/>
        </w:rPr>
        <w:t>个</w:t>
      </w:r>
      <w:r>
        <w:rPr>
          <w:rFonts w:hint="eastAsia"/>
          <w:color w:val="auto"/>
          <w:sz w:val="32"/>
          <w:szCs w:val="32"/>
          <w:lang w:eastAsia="zh-CN"/>
        </w:rPr>
        <w:t>、</w:t>
      </w:r>
      <w:r>
        <w:rPr>
          <w:color w:val="auto"/>
          <w:sz w:val="32"/>
          <w:szCs w:val="32"/>
        </w:rPr>
        <w:t>扩建1</w:t>
      </w:r>
      <w:r>
        <w:rPr>
          <w:rFonts w:hint="eastAsia"/>
          <w:color w:val="auto"/>
          <w:sz w:val="32"/>
          <w:szCs w:val="32"/>
          <w:lang w:val="en-US" w:eastAsia="zh-CN"/>
        </w:rPr>
        <w:t>2</w:t>
      </w:r>
      <w:r>
        <w:rPr>
          <w:color w:val="auto"/>
          <w:sz w:val="32"/>
          <w:szCs w:val="32"/>
        </w:rPr>
        <w:t>个</w:t>
      </w:r>
      <w:r>
        <w:rPr>
          <w:rFonts w:hint="eastAsia"/>
          <w:color w:val="auto"/>
          <w:sz w:val="32"/>
          <w:szCs w:val="32"/>
        </w:rPr>
        <w:t>。</w:t>
      </w:r>
    </w:p>
    <w:p>
      <w:pPr>
        <w:pStyle w:val="9"/>
        <w:spacing w:line="580" w:lineRule="exact"/>
        <w:ind w:firstLine="640"/>
        <w:rPr>
          <w:color w:val="auto"/>
          <w:sz w:val="32"/>
          <w:szCs w:val="32"/>
        </w:rPr>
      </w:pPr>
      <w:r>
        <w:rPr>
          <w:rFonts w:hint="eastAsia"/>
          <w:color w:val="auto"/>
          <w:sz w:val="32"/>
          <w:szCs w:val="32"/>
          <w:lang w:eastAsia="zh-CN"/>
        </w:rPr>
        <w:t>到</w:t>
      </w:r>
      <w:r>
        <w:rPr>
          <w:rFonts w:hint="eastAsia"/>
          <w:color w:val="auto"/>
          <w:sz w:val="32"/>
          <w:szCs w:val="32"/>
          <w:lang w:val="en-US" w:eastAsia="zh-CN"/>
        </w:rPr>
        <w:t>2030年，</w:t>
      </w:r>
      <w:r>
        <w:rPr>
          <w:rFonts w:hint="eastAsia"/>
          <w:color w:val="auto"/>
          <w:sz w:val="32"/>
          <w:szCs w:val="32"/>
        </w:rPr>
        <w:t>全省生活</w:t>
      </w:r>
      <w:r>
        <w:rPr>
          <w:color w:val="auto"/>
          <w:sz w:val="32"/>
          <w:szCs w:val="32"/>
        </w:rPr>
        <w:t>垃圾焚烧发电</w:t>
      </w:r>
      <w:r>
        <w:rPr>
          <w:rFonts w:hint="eastAsia"/>
          <w:color w:val="auto"/>
          <w:sz w:val="32"/>
          <w:szCs w:val="32"/>
        </w:rPr>
        <w:t>设施达到</w:t>
      </w:r>
      <w:r>
        <w:rPr>
          <w:rFonts w:hint="eastAsia"/>
          <w:color w:val="auto"/>
          <w:kern w:val="0"/>
          <w:sz w:val="32"/>
          <w:szCs w:val="32"/>
          <w:lang w:val="en-US" w:eastAsia="zh-CN"/>
        </w:rPr>
        <w:t>59</w:t>
      </w:r>
      <w:r>
        <w:rPr>
          <w:rFonts w:hint="eastAsia"/>
          <w:color w:val="auto"/>
          <w:sz w:val="32"/>
          <w:szCs w:val="32"/>
        </w:rPr>
        <w:t>座（不包含扩建</w:t>
      </w:r>
      <w:r>
        <w:rPr>
          <w:rFonts w:hint="eastAsia"/>
          <w:color w:val="auto"/>
          <w:sz w:val="32"/>
          <w:szCs w:val="32"/>
          <w:lang w:eastAsia="zh-CN"/>
        </w:rPr>
        <w:t>和迁建</w:t>
      </w:r>
      <w:r>
        <w:rPr>
          <w:rFonts w:hint="eastAsia"/>
          <w:color w:val="auto"/>
          <w:sz w:val="32"/>
          <w:szCs w:val="32"/>
        </w:rPr>
        <w:t>项目），覆盖21市（州）、154个县（市、区）。</w:t>
      </w:r>
    </w:p>
    <w:p>
      <w:pPr>
        <w:pStyle w:val="9"/>
        <w:spacing w:line="580" w:lineRule="exact"/>
        <w:ind w:firstLine="640"/>
        <w:rPr>
          <w:rFonts w:hint="eastAsia"/>
          <w:color w:val="auto"/>
          <w:kern w:val="0"/>
          <w:sz w:val="32"/>
          <w:szCs w:val="32"/>
        </w:rPr>
      </w:pPr>
    </w:p>
    <w:p>
      <w:pPr>
        <w:pStyle w:val="9"/>
        <w:spacing w:line="580" w:lineRule="exact"/>
        <w:ind w:firstLine="0" w:firstLineChars="0"/>
        <w:jc w:val="center"/>
        <w:rPr>
          <w:rFonts w:hint="eastAsia" w:ascii="黑体" w:hAnsi="黑体" w:eastAsia="黑体" w:cs="黑体"/>
          <w:bCs/>
          <w:color w:val="auto"/>
          <w:sz w:val="28"/>
        </w:rPr>
      </w:pPr>
    </w:p>
    <w:p>
      <w:pPr>
        <w:pStyle w:val="9"/>
        <w:spacing w:line="580" w:lineRule="exact"/>
        <w:ind w:firstLine="0" w:firstLineChars="0"/>
        <w:jc w:val="center"/>
        <w:rPr>
          <w:rFonts w:hint="eastAsia" w:ascii="黑体" w:hAnsi="黑体" w:eastAsia="黑体" w:cs="黑体"/>
          <w:color w:val="auto"/>
          <w:kern w:val="0"/>
          <w:sz w:val="28"/>
        </w:rPr>
      </w:pPr>
      <w:r>
        <w:rPr>
          <w:rFonts w:hint="eastAsia" w:ascii="黑体" w:hAnsi="黑体" w:eastAsia="黑体" w:cs="黑体"/>
          <w:bCs/>
          <w:color w:val="auto"/>
          <w:sz w:val="28"/>
        </w:rPr>
        <w:t>四川省生活垃圾焚烧发电拟建项目汇总表</w:t>
      </w:r>
    </w:p>
    <w:tbl>
      <w:tblPr>
        <w:tblStyle w:val="43"/>
        <w:tblW w:w="7583" w:type="dxa"/>
        <w:jc w:val="center"/>
        <w:tblInd w:w="0" w:type="dxa"/>
        <w:tblLayout w:type="fixed"/>
        <w:tblCellMar>
          <w:top w:w="15" w:type="dxa"/>
          <w:left w:w="15" w:type="dxa"/>
          <w:bottom w:w="15" w:type="dxa"/>
          <w:right w:w="15" w:type="dxa"/>
        </w:tblCellMar>
      </w:tblPr>
      <w:tblGrid>
        <w:gridCol w:w="524"/>
        <w:gridCol w:w="1710"/>
        <w:gridCol w:w="879"/>
        <w:gridCol w:w="829"/>
        <w:gridCol w:w="1199"/>
        <w:gridCol w:w="584"/>
        <w:gridCol w:w="659"/>
        <w:gridCol w:w="1199"/>
      </w:tblGrid>
      <w:tr>
        <w:tblPrEx>
          <w:tblLayout w:type="fixed"/>
          <w:tblCellMar>
            <w:top w:w="15" w:type="dxa"/>
            <w:left w:w="15" w:type="dxa"/>
            <w:bottom w:w="15" w:type="dxa"/>
            <w:right w:w="15" w:type="dxa"/>
          </w:tblCellMar>
        </w:tblPrEx>
        <w:trPr>
          <w:trHeight w:val="373" w:hRule="atLeast"/>
          <w:jc w:val="center"/>
        </w:trPr>
        <w:tc>
          <w:tcPr>
            <w:tcW w:w="52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eastAsia="黑体"/>
                <w:color w:val="auto"/>
                <w:sz w:val="22"/>
                <w:szCs w:val="22"/>
              </w:rPr>
            </w:pPr>
            <w:r>
              <w:rPr>
                <w:rFonts w:eastAsia="黑体"/>
                <w:color w:val="auto"/>
                <w:kern w:val="0"/>
                <w:sz w:val="22"/>
                <w:szCs w:val="22"/>
                <w:lang w:bidi="ar"/>
              </w:rPr>
              <w:t>序号</w:t>
            </w:r>
          </w:p>
        </w:tc>
        <w:tc>
          <w:tcPr>
            <w:tcW w:w="171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eastAsia="黑体"/>
                <w:color w:val="auto"/>
                <w:sz w:val="22"/>
                <w:szCs w:val="22"/>
              </w:rPr>
            </w:pPr>
            <w:r>
              <w:rPr>
                <w:rFonts w:eastAsia="黑体"/>
                <w:color w:val="auto"/>
                <w:kern w:val="0"/>
                <w:sz w:val="22"/>
                <w:szCs w:val="22"/>
                <w:lang w:bidi="ar"/>
              </w:rPr>
              <w:t>市（州）</w:t>
            </w:r>
          </w:p>
        </w:tc>
        <w:tc>
          <w:tcPr>
            <w:tcW w:w="290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eastAsia="黑体"/>
                <w:color w:val="auto"/>
                <w:sz w:val="22"/>
                <w:szCs w:val="22"/>
              </w:rPr>
            </w:pPr>
            <w:r>
              <w:rPr>
                <w:rFonts w:eastAsia="黑体"/>
                <w:color w:val="auto"/>
                <w:kern w:val="0"/>
                <w:sz w:val="22"/>
                <w:szCs w:val="22"/>
                <w:lang w:bidi="ar"/>
              </w:rPr>
              <w:t>2018—2020年</w:t>
            </w:r>
          </w:p>
        </w:tc>
        <w:tc>
          <w:tcPr>
            <w:tcW w:w="2442"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eastAsia="黑体"/>
                <w:color w:val="auto"/>
                <w:sz w:val="22"/>
                <w:szCs w:val="22"/>
              </w:rPr>
            </w:pPr>
            <w:r>
              <w:rPr>
                <w:rFonts w:eastAsia="黑体"/>
                <w:color w:val="auto"/>
                <w:kern w:val="0"/>
                <w:sz w:val="22"/>
                <w:szCs w:val="22"/>
                <w:lang w:bidi="ar"/>
              </w:rPr>
              <w:t>2021—2030年</w:t>
            </w:r>
          </w:p>
        </w:tc>
      </w:tr>
      <w:tr>
        <w:tblPrEx>
          <w:tblLayout w:type="fixed"/>
          <w:tblCellMar>
            <w:top w:w="15" w:type="dxa"/>
            <w:left w:w="15" w:type="dxa"/>
            <w:bottom w:w="15" w:type="dxa"/>
            <w:right w:w="15" w:type="dxa"/>
          </w:tblCellMar>
        </w:tblPrEx>
        <w:trPr>
          <w:trHeight w:val="374" w:hRule="atLeast"/>
          <w:jc w:val="center"/>
        </w:trPr>
        <w:tc>
          <w:tcPr>
            <w:tcW w:w="5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黑体"/>
                <w:color w:val="auto"/>
                <w:sz w:val="22"/>
                <w:szCs w:val="22"/>
              </w:rPr>
            </w:pPr>
          </w:p>
        </w:tc>
        <w:tc>
          <w:tcPr>
            <w:tcW w:w="171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黑体"/>
                <w:color w:val="auto"/>
                <w:sz w:val="22"/>
                <w:szCs w:val="22"/>
              </w:rPr>
            </w:pPr>
          </w:p>
        </w:tc>
        <w:tc>
          <w:tcPr>
            <w:tcW w:w="1708" w:type="dxa"/>
            <w:gridSpan w:val="2"/>
            <w:tcBorders>
              <w:top w:val="single" w:color="000000" w:sz="4" w:space="0"/>
              <w:left w:val="single" w:color="000000" w:sz="4" w:space="0"/>
              <w:bottom w:val="single" w:color="000000" w:sz="4" w:space="0"/>
            </w:tcBorders>
            <w:noWrap w:val="0"/>
            <w:vAlign w:val="center"/>
          </w:tcPr>
          <w:p>
            <w:pPr>
              <w:widowControl/>
              <w:jc w:val="center"/>
              <w:textAlignment w:val="center"/>
              <w:rPr>
                <w:rFonts w:eastAsia="黑体"/>
                <w:color w:val="auto"/>
                <w:sz w:val="22"/>
                <w:szCs w:val="22"/>
              </w:rPr>
            </w:pPr>
            <w:r>
              <w:rPr>
                <w:rFonts w:eastAsia="黑体"/>
                <w:color w:val="auto"/>
                <w:kern w:val="0"/>
                <w:sz w:val="22"/>
                <w:szCs w:val="22"/>
                <w:lang w:bidi="ar"/>
              </w:rPr>
              <w:t>项目个数</w:t>
            </w:r>
          </w:p>
        </w:tc>
        <w:tc>
          <w:tcPr>
            <w:tcW w:w="119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eastAsia="黑体"/>
                <w:color w:val="auto"/>
                <w:sz w:val="22"/>
                <w:szCs w:val="22"/>
              </w:rPr>
            </w:pPr>
            <w:r>
              <w:rPr>
                <w:rFonts w:eastAsia="黑体"/>
                <w:color w:val="auto"/>
                <w:kern w:val="0"/>
                <w:sz w:val="22"/>
                <w:szCs w:val="22"/>
                <w:lang w:bidi="ar"/>
              </w:rPr>
              <w:t>新增规模</w:t>
            </w:r>
            <w:r>
              <w:rPr>
                <w:rFonts w:eastAsia="黑体"/>
                <w:color w:val="auto"/>
                <w:kern w:val="0"/>
                <w:sz w:val="22"/>
                <w:szCs w:val="22"/>
                <w:lang w:bidi="ar"/>
              </w:rPr>
              <w:br w:type="textWrapping"/>
            </w:r>
            <w:r>
              <w:rPr>
                <w:rFonts w:eastAsia="黑体"/>
                <w:color w:val="auto"/>
                <w:kern w:val="0"/>
                <w:sz w:val="22"/>
                <w:szCs w:val="22"/>
                <w:lang w:bidi="ar"/>
              </w:rPr>
              <w:t>（吨/日）</w:t>
            </w: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eastAsia="黑体"/>
                <w:color w:val="auto"/>
                <w:sz w:val="22"/>
                <w:szCs w:val="22"/>
              </w:rPr>
            </w:pPr>
            <w:r>
              <w:rPr>
                <w:rFonts w:eastAsia="黑体"/>
                <w:color w:val="auto"/>
                <w:kern w:val="0"/>
                <w:sz w:val="22"/>
                <w:szCs w:val="22"/>
                <w:lang w:bidi="ar"/>
              </w:rPr>
              <w:t>项目个数</w:t>
            </w:r>
          </w:p>
        </w:tc>
        <w:tc>
          <w:tcPr>
            <w:tcW w:w="119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eastAsia="黑体"/>
                <w:color w:val="auto"/>
                <w:sz w:val="22"/>
                <w:szCs w:val="22"/>
              </w:rPr>
            </w:pPr>
            <w:r>
              <w:rPr>
                <w:rFonts w:eastAsia="黑体"/>
                <w:color w:val="auto"/>
                <w:kern w:val="0"/>
                <w:sz w:val="22"/>
                <w:szCs w:val="22"/>
                <w:lang w:bidi="ar"/>
              </w:rPr>
              <w:t>新增规模（吨/日）</w:t>
            </w:r>
          </w:p>
        </w:tc>
      </w:tr>
      <w:tr>
        <w:tblPrEx>
          <w:tblLayout w:type="fixed"/>
          <w:tblCellMar>
            <w:top w:w="15" w:type="dxa"/>
            <w:left w:w="15" w:type="dxa"/>
            <w:bottom w:w="15" w:type="dxa"/>
            <w:right w:w="15" w:type="dxa"/>
          </w:tblCellMar>
        </w:tblPrEx>
        <w:trPr>
          <w:trHeight w:val="101" w:hRule="atLeast"/>
          <w:jc w:val="center"/>
        </w:trPr>
        <w:tc>
          <w:tcPr>
            <w:tcW w:w="5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宋体"/>
                <w:color w:val="auto"/>
                <w:sz w:val="22"/>
                <w:szCs w:val="22"/>
              </w:rPr>
            </w:pPr>
          </w:p>
        </w:tc>
        <w:tc>
          <w:tcPr>
            <w:tcW w:w="171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宋体"/>
                <w:color w:val="auto"/>
                <w:sz w:val="22"/>
                <w:szCs w:val="22"/>
              </w:rPr>
            </w:pP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eastAsia="宋体"/>
                <w:color w:val="auto"/>
                <w:sz w:val="22"/>
                <w:szCs w:val="22"/>
              </w:rPr>
            </w:pPr>
            <w:r>
              <w:rPr>
                <w:rFonts w:eastAsia="宋体"/>
                <w:color w:val="auto"/>
                <w:kern w:val="0"/>
                <w:sz w:val="22"/>
                <w:szCs w:val="22"/>
                <w:lang w:bidi="ar"/>
              </w:rPr>
              <w:t>新增</w:t>
            </w:r>
          </w:p>
        </w:tc>
        <w:tc>
          <w:tcPr>
            <w:tcW w:w="829" w:type="dxa"/>
            <w:tcBorders>
              <w:top w:val="single" w:color="000000" w:sz="4" w:space="0"/>
              <w:left w:val="single" w:color="000000" w:sz="4" w:space="0"/>
              <w:bottom w:val="single" w:color="000000" w:sz="4" w:space="0"/>
            </w:tcBorders>
            <w:noWrap w:val="0"/>
            <w:vAlign w:val="center"/>
          </w:tcPr>
          <w:p>
            <w:pPr>
              <w:widowControl/>
              <w:jc w:val="center"/>
              <w:textAlignment w:val="center"/>
              <w:rPr>
                <w:rFonts w:eastAsia="宋体"/>
                <w:color w:val="auto"/>
                <w:sz w:val="22"/>
                <w:szCs w:val="22"/>
              </w:rPr>
            </w:pPr>
            <w:r>
              <w:rPr>
                <w:rFonts w:eastAsia="宋体"/>
                <w:color w:val="auto"/>
                <w:kern w:val="0"/>
                <w:sz w:val="22"/>
                <w:szCs w:val="22"/>
                <w:lang w:bidi="ar"/>
              </w:rPr>
              <w:t>扩建</w:t>
            </w:r>
          </w:p>
        </w:tc>
        <w:tc>
          <w:tcPr>
            <w:tcW w:w="11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宋体"/>
                <w:color w:val="auto"/>
                <w:sz w:val="22"/>
                <w:szCs w:val="22"/>
              </w:rPr>
            </w:pP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eastAsia="宋体"/>
                <w:color w:val="auto"/>
                <w:sz w:val="22"/>
                <w:szCs w:val="22"/>
              </w:rPr>
            </w:pPr>
            <w:r>
              <w:rPr>
                <w:rFonts w:eastAsia="宋体"/>
                <w:color w:val="auto"/>
                <w:kern w:val="0"/>
                <w:sz w:val="22"/>
                <w:szCs w:val="22"/>
                <w:lang w:bidi="ar"/>
              </w:rPr>
              <w:t>新增</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eastAsia="宋体"/>
                <w:color w:val="auto"/>
                <w:sz w:val="22"/>
                <w:szCs w:val="22"/>
              </w:rPr>
            </w:pPr>
            <w:r>
              <w:rPr>
                <w:rFonts w:eastAsia="宋体"/>
                <w:color w:val="auto"/>
                <w:kern w:val="0"/>
                <w:sz w:val="22"/>
                <w:szCs w:val="22"/>
                <w:lang w:bidi="ar"/>
              </w:rPr>
              <w:t>扩建</w:t>
            </w:r>
          </w:p>
        </w:tc>
        <w:tc>
          <w:tcPr>
            <w:tcW w:w="11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宋体"/>
                <w:color w:val="auto"/>
                <w:sz w:val="22"/>
                <w:szCs w:val="22"/>
              </w:rPr>
            </w:pP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成都市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5</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2</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13</w:t>
            </w:r>
            <w:r>
              <w:rPr>
                <w:rFonts w:hint="eastAsia"/>
                <w:color w:val="auto"/>
                <w:kern w:val="0"/>
                <w:sz w:val="22"/>
                <w:szCs w:val="22"/>
                <w:lang w:bidi="ar"/>
              </w:rPr>
              <w:t>7</w:t>
            </w:r>
            <w:r>
              <w:rPr>
                <w:color w:val="auto"/>
                <w:kern w:val="0"/>
                <w:sz w:val="22"/>
                <w:szCs w:val="22"/>
                <w:lang w:bidi="ar"/>
              </w:rPr>
              <w:t>00</w:t>
            </w: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2</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2300</w:t>
            </w: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2</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自贡市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1500</w:t>
            </w: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1900</w:t>
            </w: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3</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泸州市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1100</w:t>
            </w: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3</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color w:val="auto"/>
                <w:sz w:val="22"/>
                <w:szCs w:val="22"/>
              </w:rPr>
            </w:pPr>
            <w:r>
              <w:rPr>
                <w:rFonts w:hint="eastAsia"/>
                <w:color w:val="auto"/>
                <w:kern w:val="0"/>
                <w:sz w:val="22"/>
                <w:szCs w:val="22"/>
                <w:lang w:bidi="ar"/>
              </w:rPr>
              <w:t>3200</w:t>
            </w: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4</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德阳市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eastAsia="仿宋_GB2312"/>
                <w:color w:val="auto"/>
                <w:sz w:val="22"/>
                <w:szCs w:val="22"/>
                <w:lang w:eastAsia="zh-CN"/>
              </w:rPr>
            </w:pPr>
            <w:r>
              <w:rPr>
                <w:rFonts w:hint="eastAsia"/>
                <w:color w:val="auto"/>
                <w:kern w:val="0"/>
                <w:sz w:val="22"/>
                <w:szCs w:val="22"/>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color w:val="auto"/>
                <w:sz w:val="22"/>
                <w:szCs w:val="22"/>
              </w:rPr>
            </w:pPr>
            <w:r>
              <w:rPr>
                <w:rFonts w:hint="eastAsia"/>
                <w:color w:val="auto"/>
                <w:kern w:val="0"/>
                <w:sz w:val="22"/>
                <w:szCs w:val="22"/>
                <w:lang w:bidi="ar"/>
              </w:rPr>
              <w:t>1</w:t>
            </w:r>
            <w:r>
              <w:rPr>
                <w:rFonts w:hint="eastAsia"/>
                <w:color w:val="auto"/>
                <w:kern w:val="0"/>
                <w:sz w:val="22"/>
                <w:szCs w:val="22"/>
                <w:lang w:val="en-US" w:eastAsia="zh-CN" w:bidi="ar"/>
              </w:rPr>
              <w:t>3</w:t>
            </w:r>
            <w:r>
              <w:rPr>
                <w:rFonts w:hint="eastAsia"/>
                <w:color w:val="auto"/>
                <w:kern w:val="0"/>
                <w:sz w:val="22"/>
                <w:szCs w:val="22"/>
                <w:lang w:bidi="ar"/>
              </w:rPr>
              <w:t>50</w:t>
            </w: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color w:val="auto"/>
                <w:sz w:val="22"/>
                <w:szCs w:val="22"/>
              </w:rPr>
            </w:pPr>
            <w:r>
              <w:rPr>
                <w:rFonts w:hint="eastAsia"/>
                <w:color w:val="auto"/>
                <w:kern w:val="0"/>
                <w:sz w:val="22"/>
                <w:szCs w:val="22"/>
                <w:lang w:bidi="ar"/>
              </w:rPr>
              <w:t>2</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color w:val="auto"/>
                <w:sz w:val="22"/>
                <w:szCs w:val="22"/>
              </w:rPr>
            </w:pPr>
            <w:r>
              <w:rPr>
                <w:rFonts w:hint="eastAsia"/>
                <w:color w:val="auto"/>
                <w:kern w:val="0"/>
                <w:sz w:val="22"/>
                <w:szCs w:val="22"/>
                <w:lang w:bidi="ar"/>
              </w:rPr>
              <w:t>1</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color w:val="auto"/>
                <w:sz w:val="22"/>
                <w:szCs w:val="22"/>
              </w:rPr>
            </w:pPr>
            <w:r>
              <w:rPr>
                <w:rFonts w:hint="eastAsia"/>
                <w:color w:val="auto"/>
                <w:kern w:val="0"/>
                <w:sz w:val="22"/>
                <w:szCs w:val="22"/>
                <w:lang w:bidi="ar"/>
              </w:rPr>
              <w:t>1400</w:t>
            </w: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5</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绵阳市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1500</w:t>
            </w: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color w:val="auto"/>
                <w:sz w:val="22"/>
                <w:szCs w:val="22"/>
              </w:rPr>
            </w:pPr>
            <w:r>
              <w:rPr>
                <w:rFonts w:hint="eastAsia"/>
                <w:color w:val="auto"/>
                <w:kern w:val="0"/>
                <w:sz w:val="22"/>
                <w:szCs w:val="22"/>
                <w:lang w:bidi="ar"/>
              </w:rPr>
              <w:t>500</w:t>
            </w: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6</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广元市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eastAsia="仿宋_GB2312"/>
                <w:color w:val="auto"/>
                <w:sz w:val="22"/>
                <w:szCs w:val="22"/>
                <w:lang w:eastAsia="zh-CN"/>
              </w:rPr>
            </w:pPr>
            <w:r>
              <w:rPr>
                <w:rFonts w:hint="eastAsia"/>
                <w:color w:val="auto"/>
                <w:kern w:val="0"/>
                <w:sz w:val="22"/>
                <w:szCs w:val="22"/>
                <w:lang w:val="en-US" w:eastAsia="zh-CN" w:bidi="ar"/>
              </w:rPr>
              <w:t>3</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eastAsia="仿宋_GB2312"/>
                <w:color w:val="auto"/>
                <w:sz w:val="22"/>
                <w:szCs w:val="22"/>
                <w:lang w:val="en-US" w:eastAsia="zh-CN"/>
              </w:rPr>
            </w:pPr>
            <w:r>
              <w:rPr>
                <w:rFonts w:hint="eastAsia"/>
                <w:color w:val="auto"/>
                <w:kern w:val="0"/>
                <w:sz w:val="22"/>
                <w:szCs w:val="22"/>
                <w:lang w:val="en-US" w:eastAsia="zh-CN" w:bidi="ar"/>
              </w:rPr>
              <w:t>950</w:t>
            </w: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7</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遂宁市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700</w:t>
            </w: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8</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内江市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2</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1950</w:t>
            </w: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9</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乐山市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color w:val="auto"/>
                <w:sz w:val="22"/>
                <w:szCs w:val="22"/>
              </w:rPr>
            </w:pPr>
            <w:r>
              <w:rPr>
                <w:rFonts w:hint="eastAsia"/>
                <w:color w:val="auto"/>
                <w:sz w:val="22"/>
                <w:szCs w:val="22"/>
              </w:rPr>
              <w:t>1</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color w:val="auto"/>
                <w:sz w:val="22"/>
                <w:szCs w:val="22"/>
              </w:rPr>
            </w:pPr>
            <w:r>
              <w:rPr>
                <w:rFonts w:hint="eastAsia"/>
                <w:color w:val="auto"/>
                <w:sz w:val="22"/>
                <w:szCs w:val="22"/>
              </w:rPr>
              <w:t>1000</w:t>
            </w: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2</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color w:val="auto"/>
                <w:sz w:val="22"/>
                <w:szCs w:val="22"/>
              </w:rPr>
            </w:pPr>
            <w:r>
              <w:rPr>
                <w:color w:val="auto"/>
                <w:kern w:val="0"/>
                <w:sz w:val="22"/>
                <w:szCs w:val="22"/>
                <w:lang w:bidi="ar"/>
              </w:rPr>
              <w:t>1</w:t>
            </w:r>
            <w:r>
              <w:rPr>
                <w:rFonts w:hint="eastAsia"/>
                <w:color w:val="auto"/>
                <w:kern w:val="0"/>
                <w:sz w:val="22"/>
                <w:szCs w:val="22"/>
                <w:lang w:val="en-US" w:eastAsia="zh-CN" w:bidi="ar"/>
              </w:rPr>
              <w:t>3</w:t>
            </w:r>
            <w:r>
              <w:rPr>
                <w:color w:val="auto"/>
                <w:kern w:val="0"/>
                <w:sz w:val="22"/>
                <w:szCs w:val="22"/>
                <w:lang w:bidi="ar"/>
              </w:rPr>
              <w:t>00</w:t>
            </w: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10</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南充市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2</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color w:val="auto"/>
                <w:sz w:val="22"/>
                <w:szCs w:val="22"/>
              </w:rPr>
            </w:pPr>
            <w:r>
              <w:rPr>
                <w:color w:val="auto"/>
                <w:kern w:val="0"/>
                <w:sz w:val="22"/>
                <w:szCs w:val="22"/>
                <w:lang w:bidi="ar"/>
              </w:rPr>
              <w:t>2100</w:t>
            </w: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11</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眉山市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eastAsia="仿宋_GB2312"/>
                <w:color w:val="auto"/>
                <w:sz w:val="22"/>
                <w:szCs w:val="22"/>
                <w:lang w:eastAsia="zh-CN"/>
              </w:rPr>
            </w:pPr>
            <w:r>
              <w:rPr>
                <w:rFonts w:hint="eastAsia"/>
                <w:color w:val="auto"/>
                <w:kern w:val="0"/>
                <w:sz w:val="22"/>
                <w:szCs w:val="22"/>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color w:val="auto"/>
                <w:sz w:val="22"/>
                <w:szCs w:val="22"/>
                <w:lang w:val="en-US" w:eastAsia="zh-CN"/>
              </w:rPr>
            </w:pPr>
            <w:r>
              <w:rPr>
                <w:rFonts w:hint="eastAsia"/>
                <w:color w:val="auto"/>
                <w:sz w:val="22"/>
                <w:szCs w:val="22"/>
                <w:lang w:val="en-US" w:eastAsia="zh-CN"/>
              </w:rPr>
              <w:t>1</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eastAsia="仿宋_GB2312"/>
                <w:color w:val="auto"/>
                <w:sz w:val="22"/>
                <w:szCs w:val="22"/>
                <w:lang w:val="en-US" w:eastAsia="zh-CN"/>
              </w:rPr>
            </w:pPr>
            <w:r>
              <w:rPr>
                <w:rFonts w:hint="eastAsia"/>
                <w:color w:val="auto"/>
                <w:kern w:val="0"/>
                <w:sz w:val="22"/>
                <w:szCs w:val="22"/>
                <w:lang w:val="en-US" w:eastAsia="zh-CN" w:bidi="ar"/>
              </w:rPr>
              <w:t>1700</w:t>
            </w: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eastAsia="仿宋_GB2312"/>
                <w:color w:val="auto"/>
                <w:sz w:val="22"/>
                <w:szCs w:val="22"/>
                <w:lang w:val="en-US" w:eastAsia="zh-CN"/>
              </w:rPr>
            </w:pPr>
            <w:r>
              <w:rPr>
                <w:rFonts w:hint="eastAsia"/>
                <w:color w:val="auto"/>
                <w:kern w:val="0"/>
                <w:sz w:val="22"/>
                <w:szCs w:val="22"/>
                <w:lang w:val="en-US" w:eastAsia="zh-CN" w:bidi="ar"/>
              </w:rPr>
              <w:t>300</w:t>
            </w: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kern w:val="0"/>
                <w:sz w:val="22"/>
                <w:szCs w:val="22"/>
                <w:lang w:bidi="ar"/>
              </w:rPr>
            </w:pPr>
            <w:r>
              <w:rPr>
                <w:rFonts w:hint="eastAsia"/>
                <w:color w:val="auto"/>
                <w:kern w:val="0"/>
                <w:sz w:val="22"/>
                <w:szCs w:val="22"/>
                <w:lang w:bidi="ar"/>
              </w:rPr>
              <w:t>12</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宜宾市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3</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r>
              <w:rPr>
                <w:rFonts w:hint="eastAsia"/>
                <w:color w:val="auto"/>
                <w:sz w:val="22"/>
                <w:szCs w:val="22"/>
              </w:rPr>
              <w:t>1</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3600</w:t>
            </w: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kern w:val="0"/>
                <w:sz w:val="22"/>
                <w:szCs w:val="22"/>
                <w:lang w:bidi="ar"/>
              </w:rPr>
            </w:pPr>
            <w:r>
              <w:rPr>
                <w:rFonts w:hint="eastAsia"/>
                <w:color w:val="auto"/>
                <w:kern w:val="0"/>
                <w:sz w:val="22"/>
                <w:szCs w:val="22"/>
                <w:lang w:bidi="ar"/>
              </w:rPr>
              <w:t>13</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广安市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color w:val="auto"/>
                <w:sz w:val="22"/>
                <w:szCs w:val="22"/>
              </w:rPr>
            </w:pPr>
            <w:r>
              <w:rPr>
                <w:rFonts w:hint="eastAsia"/>
                <w:color w:val="auto"/>
                <w:sz w:val="22"/>
                <w:szCs w:val="22"/>
              </w:rPr>
              <w:t>1</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color w:val="auto"/>
                <w:sz w:val="22"/>
                <w:szCs w:val="22"/>
              </w:rPr>
            </w:pPr>
            <w:r>
              <w:rPr>
                <w:rFonts w:hint="eastAsia"/>
                <w:color w:val="auto"/>
                <w:kern w:val="0"/>
                <w:sz w:val="22"/>
                <w:szCs w:val="22"/>
                <w:lang w:bidi="ar"/>
              </w:rPr>
              <w:t>600</w:t>
            </w: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kern w:val="0"/>
                <w:sz w:val="22"/>
                <w:szCs w:val="22"/>
                <w:lang w:bidi="ar"/>
              </w:rPr>
            </w:pP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eastAsia="仿宋_GB2312"/>
                <w:color w:val="auto"/>
                <w:kern w:val="0"/>
                <w:sz w:val="22"/>
                <w:szCs w:val="22"/>
                <w:lang w:val="en-US" w:eastAsia="zh-CN" w:bidi="ar"/>
              </w:rPr>
            </w:pPr>
            <w:r>
              <w:rPr>
                <w:rFonts w:hint="eastAsia"/>
                <w:color w:val="auto"/>
                <w:kern w:val="0"/>
                <w:sz w:val="22"/>
                <w:szCs w:val="22"/>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eastAsia="仿宋_GB2312"/>
                <w:color w:val="auto"/>
                <w:kern w:val="0"/>
                <w:sz w:val="22"/>
                <w:szCs w:val="22"/>
                <w:lang w:val="en-US" w:eastAsia="zh-CN" w:bidi="ar"/>
              </w:rPr>
            </w:pPr>
            <w:r>
              <w:rPr>
                <w:rFonts w:hint="eastAsia"/>
                <w:color w:val="auto"/>
                <w:kern w:val="0"/>
                <w:sz w:val="22"/>
                <w:szCs w:val="22"/>
                <w:lang w:val="en-US" w:eastAsia="zh-CN" w:bidi="ar"/>
              </w:rPr>
              <w:t>300</w:t>
            </w: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kern w:val="0"/>
                <w:sz w:val="22"/>
                <w:szCs w:val="22"/>
                <w:lang w:bidi="ar"/>
              </w:rPr>
            </w:pPr>
            <w:r>
              <w:rPr>
                <w:rFonts w:hint="eastAsia"/>
                <w:color w:val="auto"/>
                <w:kern w:val="0"/>
                <w:sz w:val="22"/>
                <w:szCs w:val="22"/>
                <w:lang w:bidi="ar"/>
              </w:rPr>
              <w:t>14</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达州市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color w:val="auto"/>
                <w:sz w:val="22"/>
                <w:szCs w:val="22"/>
              </w:rPr>
            </w:pPr>
            <w:r>
              <w:rPr>
                <w:rFonts w:hint="eastAsia"/>
                <w:color w:val="auto"/>
                <w:kern w:val="0"/>
                <w:sz w:val="22"/>
                <w:szCs w:val="22"/>
                <w:lang w:bidi="ar"/>
              </w:rPr>
              <w:t>3</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color w:val="auto"/>
                <w:sz w:val="22"/>
                <w:szCs w:val="22"/>
              </w:rPr>
            </w:pPr>
            <w:r>
              <w:rPr>
                <w:rFonts w:hint="eastAsia"/>
                <w:color w:val="auto"/>
                <w:kern w:val="0"/>
                <w:sz w:val="22"/>
                <w:szCs w:val="22"/>
                <w:lang w:bidi="ar"/>
              </w:rPr>
              <w:t>2950</w:t>
            </w: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color w:val="auto"/>
                <w:sz w:val="22"/>
                <w:szCs w:val="22"/>
              </w:rPr>
            </w:pPr>
            <w:r>
              <w:rPr>
                <w:rFonts w:hint="eastAsia"/>
                <w:color w:val="auto"/>
                <w:sz w:val="22"/>
                <w:szCs w:val="22"/>
              </w:rPr>
              <w:t>1</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color w:val="auto"/>
                <w:sz w:val="22"/>
                <w:szCs w:val="22"/>
              </w:rPr>
            </w:pPr>
            <w:r>
              <w:rPr>
                <w:rFonts w:hint="eastAsia"/>
                <w:color w:val="auto"/>
                <w:sz w:val="22"/>
                <w:szCs w:val="22"/>
              </w:rPr>
              <w:t>750</w:t>
            </w: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kern w:val="0"/>
                <w:sz w:val="22"/>
                <w:szCs w:val="22"/>
                <w:lang w:bidi="ar"/>
              </w:rPr>
            </w:pPr>
            <w:r>
              <w:rPr>
                <w:rFonts w:hint="eastAsia"/>
                <w:color w:val="auto"/>
                <w:kern w:val="0"/>
                <w:sz w:val="22"/>
                <w:szCs w:val="22"/>
                <w:lang w:bidi="ar"/>
              </w:rPr>
              <w:t>15</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kern w:val="0"/>
                <w:sz w:val="22"/>
                <w:szCs w:val="22"/>
                <w:lang w:bidi="ar"/>
              </w:rPr>
            </w:pPr>
            <w:r>
              <w:rPr>
                <w:rFonts w:hint="eastAsia"/>
                <w:color w:val="auto"/>
                <w:kern w:val="0"/>
                <w:sz w:val="22"/>
                <w:szCs w:val="22"/>
                <w:lang w:bidi="ar"/>
              </w:rPr>
              <w:t>雅安市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kern w:val="0"/>
                <w:sz w:val="22"/>
                <w:szCs w:val="22"/>
                <w:lang w:bidi="ar"/>
              </w:rPr>
            </w:pP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r>
              <w:rPr>
                <w:rFonts w:hint="eastAsia"/>
                <w:color w:val="auto"/>
                <w:sz w:val="22"/>
                <w:szCs w:val="22"/>
              </w:rPr>
              <w:t>1</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kern w:val="0"/>
                <w:sz w:val="22"/>
                <w:szCs w:val="22"/>
                <w:lang w:bidi="ar"/>
              </w:rPr>
            </w:pPr>
            <w:r>
              <w:rPr>
                <w:rFonts w:hint="eastAsia"/>
                <w:color w:val="auto"/>
                <w:kern w:val="0"/>
                <w:sz w:val="22"/>
                <w:szCs w:val="22"/>
                <w:lang w:bidi="ar"/>
              </w:rPr>
              <w:t>300</w:t>
            </w: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kern w:val="0"/>
                <w:sz w:val="22"/>
                <w:szCs w:val="22"/>
                <w:lang w:bidi="ar"/>
              </w:rPr>
            </w:pP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kern w:val="0"/>
                <w:sz w:val="22"/>
                <w:szCs w:val="22"/>
                <w:lang w:bidi="ar"/>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color w:val="auto"/>
                <w:kern w:val="0"/>
                <w:sz w:val="22"/>
                <w:szCs w:val="22"/>
                <w:lang w:bidi="ar"/>
              </w:rPr>
            </w:pP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kern w:val="0"/>
                <w:sz w:val="22"/>
                <w:szCs w:val="22"/>
                <w:lang w:bidi="ar"/>
              </w:rPr>
            </w:pPr>
            <w:r>
              <w:rPr>
                <w:rFonts w:hint="eastAsia"/>
                <w:color w:val="auto"/>
                <w:kern w:val="0"/>
                <w:sz w:val="22"/>
                <w:szCs w:val="22"/>
                <w:lang w:bidi="ar"/>
              </w:rPr>
              <w:t>16</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巴中市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600</w:t>
            </w: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600</w:t>
            </w: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17</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资阳市</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color w:val="auto"/>
                <w:sz w:val="22"/>
                <w:szCs w:val="22"/>
              </w:rPr>
            </w:pPr>
            <w:r>
              <w:rPr>
                <w:color w:val="auto"/>
                <w:kern w:val="0"/>
                <w:sz w:val="22"/>
                <w:szCs w:val="22"/>
                <w:lang w:bidi="ar"/>
              </w:rPr>
              <w:t>1000</w:t>
            </w: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eastAsia="仿宋_GB2312"/>
                <w:color w:val="auto"/>
                <w:sz w:val="22"/>
                <w:szCs w:val="22"/>
                <w:lang w:eastAsia="zh-CN"/>
              </w:rPr>
            </w:pPr>
            <w:r>
              <w:rPr>
                <w:rFonts w:hint="eastAsia"/>
                <w:color w:val="auto"/>
                <w:kern w:val="0"/>
                <w:sz w:val="22"/>
                <w:szCs w:val="22"/>
                <w:lang w:val="en-US" w:eastAsia="zh-CN" w:bidi="ar"/>
              </w:rPr>
              <w:t>1</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eastAsia="仿宋_GB2312"/>
                <w:color w:val="auto"/>
                <w:sz w:val="22"/>
                <w:szCs w:val="22"/>
                <w:lang w:val="en-US" w:eastAsia="zh-CN"/>
              </w:rPr>
            </w:pPr>
            <w:r>
              <w:rPr>
                <w:rFonts w:hint="eastAsia"/>
                <w:color w:val="auto"/>
                <w:kern w:val="0"/>
                <w:sz w:val="22"/>
                <w:szCs w:val="22"/>
                <w:lang w:val="en-US" w:eastAsia="zh-CN" w:bidi="ar"/>
              </w:rPr>
              <w:t>800</w:t>
            </w: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18</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阿坝州</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color w:val="auto"/>
                <w:sz w:val="22"/>
                <w:szCs w:val="22"/>
              </w:rPr>
            </w:pPr>
            <w:r>
              <w:rPr>
                <w:rFonts w:hint="eastAsia"/>
                <w:color w:val="auto"/>
                <w:kern w:val="0"/>
                <w:sz w:val="22"/>
                <w:szCs w:val="22"/>
                <w:lang w:bidi="ar"/>
              </w:rPr>
              <w:t>300</w:t>
            </w: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19</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甘孜州</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100</w:t>
            </w: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20</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凉山州</w:t>
            </w: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3</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1</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color w:val="auto"/>
                <w:sz w:val="22"/>
                <w:szCs w:val="22"/>
              </w:rPr>
            </w:pPr>
            <w:r>
              <w:rPr>
                <w:color w:val="auto"/>
                <w:kern w:val="0"/>
                <w:sz w:val="22"/>
                <w:szCs w:val="22"/>
                <w:lang w:bidi="ar"/>
              </w:rPr>
              <w:t>2300</w:t>
            </w:r>
          </w:p>
        </w:tc>
      </w:tr>
      <w:tr>
        <w:tblPrEx>
          <w:tblLayout w:type="fixed"/>
          <w:tblCellMar>
            <w:top w:w="15" w:type="dxa"/>
            <w:left w:w="15" w:type="dxa"/>
            <w:bottom w:w="15" w:type="dxa"/>
            <w:right w:w="15" w:type="dxa"/>
          </w:tblCellMar>
        </w:tblPrEx>
        <w:trPr>
          <w:trHeight w:val="286" w:hRule="atLeast"/>
          <w:jc w:val="center"/>
        </w:trPr>
        <w:tc>
          <w:tcPr>
            <w:tcW w:w="524" w:type="dxa"/>
            <w:tcBorders>
              <w:top w:val="single" w:color="000000" w:sz="4" w:space="0"/>
              <w:left w:val="single" w:color="000000" w:sz="4" w:space="0"/>
              <w:bottom w:val="single" w:color="000000" w:sz="4" w:space="0"/>
              <w:right w:val="single" w:color="000000" w:sz="4" w:space="0"/>
            </w:tcBorders>
            <w:noWrap w:val="0"/>
            <w:vAlign w:val="top"/>
          </w:tcPr>
          <w:p>
            <w:pPr>
              <w:widowControl/>
              <w:textAlignment w:val="top"/>
              <w:rPr>
                <w:color w:val="auto"/>
                <w:sz w:val="22"/>
                <w:szCs w:val="22"/>
              </w:rPr>
            </w:pPr>
            <w:r>
              <w:rPr>
                <w:color w:val="auto"/>
                <w:kern w:val="0"/>
                <w:sz w:val="22"/>
                <w:szCs w:val="22"/>
                <w:lang w:bidi="ar"/>
              </w:rPr>
              <w:t>合计</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jc w:val="center"/>
              <w:rPr>
                <w:color w:val="auto"/>
                <w:sz w:val="22"/>
                <w:szCs w:val="22"/>
              </w:rPr>
            </w:pPr>
          </w:p>
        </w:tc>
        <w:tc>
          <w:tcPr>
            <w:tcW w:w="87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eastAsia="仿宋_GB2312"/>
                <w:color w:val="auto"/>
                <w:sz w:val="22"/>
                <w:szCs w:val="22"/>
                <w:lang w:val="en-US" w:eastAsia="zh-CN"/>
              </w:rPr>
            </w:pPr>
            <w:r>
              <w:rPr>
                <w:rFonts w:hint="eastAsia"/>
                <w:color w:val="auto"/>
                <w:kern w:val="0"/>
                <w:sz w:val="22"/>
                <w:szCs w:val="22"/>
                <w:lang w:val="en-US" w:eastAsia="zh-CN" w:bidi="ar"/>
              </w:rPr>
              <w:t>22</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eastAsia="仿宋_GB2312"/>
                <w:color w:val="auto"/>
                <w:sz w:val="22"/>
                <w:szCs w:val="22"/>
                <w:lang w:eastAsia="zh-CN"/>
              </w:rPr>
            </w:pPr>
            <w:r>
              <w:rPr>
                <w:rFonts w:hint="eastAsia"/>
                <w:color w:val="auto"/>
                <w:kern w:val="0"/>
                <w:sz w:val="22"/>
                <w:szCs w:val="22"/>
                <w:lang w:val="en-US" w:eastAsia="zh-CN" w:bidi="ar"/>
              </w:rPr>
              <w:t>8</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eastAsia="仿宋_GB2312"/>
                <w:color w:val="auto"/>
                <w:sz w:val="22"/>
                <w:szCs w:val="22"/>
                <w:lang w:val="en-US" w:eastAsia="zh-CN"/>
              </w:rPr>
            </w:pPr>
            <w:r>
              <w:rPr>
                <w:rFonts w:hint="eastAsia"/>
                <w:color w:val="auto"/>
                <w:kern w:val="0"/>
                <w:sz w:val="22"/>
                <w:szCs w:val="22"/>
                <w:lang w:bidi="ar"/>
              </w:rPr>
              <w:t>3</w:t>
            </w:r>
            <w:r>
              <w:rPr>
                <w:color w:val="auto"/>
                <w:kern w:val="0"/>
                <w:sz w:val="22"/>
                <w:szCs w:val="22"/>
                <w:lang w:bidi="ar"/>
              </w:rPr>
              <w:t>2</w:t>
            </w:r>
            <w:r>
              <w:rPr>
                <w:rFonts w:hint="eastAsia"/>
                <w:color w:val="auto"/>
                <w:kern w:val="0"/>
                <w:sz w:val="22"/>
                <w:szCs w:val="22"/>
                <w:lang w:val="en-US" w:eastAsia="zh-CN" w:bidi="ar"/>
              </w:rPr>
              <w:t>050</w:t>
            </w:r>
          </w:p>
        </w:tc>
        <w:tc>
          <w:tcPr>
            <w:tcW w:w="5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eastAsia="仿宋_GB2312"/>
                <w:color w:val="auto"/>
                <w:sz w:val="22"/>
                <w:szCs w:val="22"/>
                <w:lang w:eastAsia="zh-CN"/>
              </w:rPr>
            </w:pPr>
            <w:r>
              <w:rPr>
                <w:color w:val="auto"/>
                <w:kern w:val="0"/>
                <w:sz w:val="22"/>
                <w:szCs w:val="22"/>
                <w:lang w:bidi="ar"/>
              </w:rPr>
              <w:t>2</w:t>
            </w:r>
            <w:r>
              <w:rPr>
                <w:rFonts w:hint="eastAsia"/>
                <w:color w:val="auto"/>
                <w:kern w:val="0"/>
                <w:sz w:val="22"/>
                <w:szCs w:val="22"/>
                <w:lang w:val="en-US" w:eastAsia="zh-CN" w:bidi="ar"/>
              </w:rPr>
              <w:t>0</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eastAsia="仿宋_GB2312"/>
                <w:color w:val="auto"/>
                <w:sz w:val="22"/>
                <w:szCs w:val="22"/>
                <w:lang w:eastAsia="zh-CN"/>
              </w:rPr>
            </w:pPr>
            <w:r>
              <w:rPr>
                <w:color w:val="auto"/>
                <w:kern w:val="0"/>
                <w:sz w:val="22"/>
                <w:szCs w:val="22"/>
                <w:lang w:bidi="ar"/>
              </w:rPr>
              <w:t>1</w:t>
            </w:r>
            <w:r>
              <w:rPr>
                <w:rFonts w:hint="eastAsia"/>
                <w:color w:val="auto"/>
                <w:kern w:val="0"/>
                <w:sz w:val="22"/>
                <w:szCs w:val="22"/>
                <w:lang w:val="en-US" w:eastAsia="zh-CN" w:bidi="ar"/>
              </w:rPr>
              <w:t>2</w:t>
            </w:r>
          </w:p>
        </w:tc>
        <w:tc>
          <w:tcPr>
            <w:tcW w:w="11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eastAsia="仿宋_GB2312"/>
                <w:color w:val="auto"/>
                <w:sz w:val="22"/>
                <w:szCs w:val="22"/>
                <w:lang w:val="en-US" w:eastAsia="zh-CN"/>
              </w:rPr>
            </w:pPr>
            <w:r>
              <w:rPr>
                <w:rFonts w:hint="eastAsia"/>
                <w:color w:val="auto"/>
                <w:kern w:val="0"/>
                <w:sz w:val="22"/>
                <w:szCs w:val="22"/>
                <w:lang w:val="en-US" w:eastAsia="zh-CN" w:bidi="ar"/>
              </w:rPr>
              <w:t>20600</w:t>
            </w:r>
          </w:p>
        </w:tc>
      </w:tr>
    </w:tbl>
    <w:p>
      <w:pPr>
        <w:pStyle w:val="3"/>
        <w:spacing w:before="0" w:after="0" w:line="580" w:lineRule="exact"/>
        <w:ind w:firstLine="600"/>
        <w:rPr>
          <w:rFonts w:ascii="Times New Roman" w:hAnsi="Times New Roman" w:eastAsia="楷体_GB2312"/>
          <w:color w:val="auto"/>
          <w:szCs w:val="32"/>
        </w:rPr>
      </w:pPr>
      <w:bookmarkStart w:id="27" w:name="_Toc1569716"/>
      <w:bookmarkStart w:id="28" w:name="_Toc23821"/>
      <w:bookmarkStart w:id="29" w:name="_Toc343262151"/>
      <w:r>
        <w:rPr>
          <w:rFonts w:ascii="Times New Roman" w:hAnsi="Times New Roman" w:eastAsia="楷体_GB2312"/>
          <w:color w:val="auto"/>
          <w:szCs w:val="32"/>
        </w:rPr>
        <w:t>（二）投资估算</w:t>
      </w:r>
      <w:bookmarkEnd w:id="27"/>
      <w:bookmarkEnd w:id="28"/>
    </w:p>
    <w:p>
      <w:pPr>
        <w:pStyle w:val="9"/>
        <w:spacing w:line="580" w:lineRule="exact"/>
        <w:ind w:firstLine="640"/>
        <w:rPr>
          <w:color w:val="auto"/>
          <w:sz w:val="32"/>
          <w:szCs w:val="32"/>
        </w:rPr>
      </w:pPr>
      <w:r>
        <w:rPr>
          <w:color w:val="auto"/>
          <w:sz w:val="32"/>
          <w:szCs w:val="32"/>
        </w:rPr>
        <w:t>2018—2030年，全省生活垃圾焚烧发电项目拟建总规模为</w:t>
      </w:r>
      <w:r>
        <w:rPr>
          <w:rFonts w:hint="eastAsia"/>
          <w:color w:val="auto"/>
          <w:sz w:val="32"/>
          <w:szCs w:val="32"/>
          <w:lang w:val="en-US" w:eastAsia="zh-CN"/>
        </w:rPr>
        <w:t>5.265</w:t>
      </w:r>
      <w:r>
        <w:rPr>
          <w:color w:val="auto"/>
          <w:sz w:val="32"/>
          <w:szCs w:val="32"/>
        </w:rPr>
        <w:t>万吨/日</w:t>
      </w:r>
      <w:r>
        <w:rPr>
          <w:rFonts w:hint="eastAsia"/>
          <w:color w:val="auto"/>
          <w:sz w:val="32"/>
          <w:szCs w:val="32"/>
          <w:lang w:eastAsia="zh-CN"/>
        </w:rPr>
        <w:t>，拟新增装机容量</w:t>
      </w:r>
      <w:r>
        <w:rPr>
          <w:rFonts w:hint="eastAsia"/>
          <w:color w:val="auto"/>
          <w:sz w:val="32"/>
          <w:szCs w:val="32"/>
          <w:lang w:val="en-US" w:eastAsia="zh-CN"/>
        </w:rPr>
        <w:t>106.7万千瓦</w:t>
      </w:r>
      <w:r>
        <w:rPr>
          <w:color w:val="auto"/>
          <w:sz w:val="32"/>
          <w:szCs w:val="32"/>
        </w:rPr>
        <w:t>，规划总投资估算约为</w:t>
      </w:r>
      <w:r>
        <w:rPr>
          <w:rFonts w:hint="eastAsia"/>
          <w:color w:val="auto"/>
          <w:sz w:val="32"/>
          <w:szCs w:val="32"/>
        </w:rPr>
        <w:t>238</w:t>
      </w:r>
      <w:r>
        <w:rPr>
          <w:color w:val="auto"/>
          <w:sz w:val="32"/>
          <w:szCs w:val="32"/>
        </w:rPr>
        <w:t>亿元。</w:t>
      </w:r>
    </w:p>
    <w:p>
      <w:pPr>
        <w:pStyle w:val="3"/>
        <w:spacing w:before="0" w:after="0" w:line="580" w:lineRule="exact"/>
        <w:ind w:firstLine="600"/>
        <w:rPr>
          <w:rFonts w:ascii="Times New Roman" w:hAnsi="Times New Roman" w:eastAsia="楷体_GB2312"/>
          <w:color w:val="auto"/>
          <w:szCs w:val="32"/>
        </w:rPr>
      </w:pPr>
      <w:bookmarkStart w:id="30" w:name="_Toc31618"/>
      <w:bookmarkStart w:id="31" w:name="_Toc1569717"/>
      <w:bookmarkStart w:id="32" w:name="_Toc457161633"/>
      <w:r>
        <w:rPr>
          <w:rFonts w:ascii="Times New Roman" w:hAnsi="Times New Roman" w:eastAsia="楷体_GB2312"/>
          <w:color w:val="auto"/>
          <w:szCs w:val="32"/>
        </w:rPr>
        <w:t>（</w:t>
      </w:r>
      <w:r>
        <w:rPr>
          <w:rFonts w:hint="eastAsia" w:ascii="Times New Roman" w:hAnsi="Times New Roman" w:eastAsia="楷体_GB2312"/>
          <w:color w:val="auto"/>
          <w:szCs w:val="32"/>
        </w:rPr>
        <w:t>三</w:t>
      </w:r>
      <w:r>
        <w:rPr>
          <w:rFonts w:ascii="Times New Roman" w:hAnsi="Times New Roman" w:eastAsia="楷体_GB2312"/>
          <w:color w:val="auto"/>
          <w:szCs w:val="32"/>
        </w:rPr>
        <w:t>）资金筹措</w:t>
      </w:r>
      <w:bookmarkEnd w:id="30"/>
      <w:bookmarkEnd w:id="31"/>
      <w:bookmarkEnd w:id="32"/>
    </w:p>
    <w:p>
      <w:pPr>
        <w:adjustRightInd w:val="0"/>
        <w:snapToGrid w:val="0"/>
        <w:spacing w:line="580" w:lineRule="exact"/>
        <w:ind w:firstLine="600"/>
        <w:rPr>
          <w:snapToGrid w:val="0"/>
          <w:color w:val="auto"/>
          <w:kern w:val="10"/>
          <w:szCs w:val="32"/>
        </w:rPr>
      </w:pPr>
      <w:r>
        <w:rPr>
          <w:snapToGrid w:val="0"/>
          <w:color w:val="auto"/>
          <w:kern w:val="10"/>
          <w:szCs w:val="32"/>
        </w:rPr>
        <w:t>充分发挥环境污染第三方治理等市场机制在推动生活垃圾</w:t>
      </w:r>
      <w:r>
        <w:rPr>
          <w:color w:val="auto"/>
          <w:szCs w:val="32"/>
        </w:rPr>
        <w:t>焚烧</w:t>
      </w:r>
      <w:r>
        <w:rPr>
          <w:snapToGrid w:val="0"/>
          <w:color w:val="auto"/>
          <w:kern w:val="10"/>
          <w:szCs w:val="32"/>
        </w:rPr>
        <w:t>发电设施建设方面的作用，促进投资主体与融资渠道的多元化。加快推进政府和社会资本合作，在全省推广“全域统筹规划、市州统一打包、投建运营一体、收集处理一体、政府购买服务”垃圾治理新模式，实现政府主导、市场化运作和财政奖补等多元手段结合，破解城乡垃圾焚烧发电设施建设资金瓶颈。</w:t>
      </w:r>
    </w:p>
    <w:p>
      <w:pPr>
        <w:pStyle w:val="2"/>
        <w:spacing w:before="0" w:after="0" w:line="580" w:lineRule="exact"/>
        <w:ind w:left="600"/>
        <w:rPr>
          <w:rFonts w:hint="eastAsia" w:eastAsia="黑体"/>
          <w:b w:val="0"/>
          <w:color w:val="auto"/>
          <w:sz w:val="32"/>
          <w:szCs w:val="32"/>
          <w:lang w:eastAsia="zh-CN"/>
        </w:rPr>
      </w:pPr>
      <w:bookmarkStart w:id="33" w:name="_Toc1569718"/>
      <w:bookmarkStart w:id="34" w:name="_Toc31240"/>
      <w:r>
        <w:rPr>
          <w:rFonts w:eastAsia="黑体"/>
          <w:b w:val="0"/>
          <w:color w:val="auto"/>
          <w:sz w:val="32"/>
          <w:szCs w:val="32"/>
        </w:rPr>
        <w:t>五、</w:t>
      </w:r>
      <w:r>
        <w:rPr>
          <w:rFonts w:hint="eastAsia" w:eastAsia="黑体"/>
          <w:b w:val="0"/>
          <w:color w:val="auto"/>
          <w:sz w:val="32"/>
          <w:szCs w:val="32"/>
        </w:rPr>
        <w:t>规划</w:t>
      </w:r>
      <w:r>
        <w:rPr>
          <w:rFonts w:eastAsia="黑体"/>
          <w:b w:val="0"/>
          <w:color w:val="auto"/>
          <w:sz w:val="32"/>
          <w:szCs w:val="32"/>
        </w:rPr>
        <w:t>环境影响</w:t>
      </w:r>
      <w:bookmarkEnd w:id="33"/>
      <w:bookmarkEnd w:id="34"/>
      <w:r>
        <w:rPr>
          <w:rFonts w:hint="eastAsia" w:eastAsia="黑体"/>
          <w:b w:val="0"/>
          <w:color w:val="auto"/>
          <w:sz w:val="32"/>
          <w:szCs w:val="32"/>
          <w:lang w:eastAsia="zh-CN"/>
        </w:rPr>
        <w:t>篇章</w:t>
      </w:r>
    </w:p>
    <w:p>
      <w:pPr>
        <w:pStyle w:val="3"/>
        <w:spacing w:before="0" w:after="0" w:line="580" w:lineRule="exact"/>
        <w:ind w:firstLine="531" w:firstLineChars="166"/>
        <w:rPr>
          <w:rFonts w:ascii="Times New Roman" w:hAnsi="Times New Roman" w:eastAsia="楷体_GB2312"/>
          <w:color w:val="auto"/>
          <w:szCs w:val="32"/>
        </w:rPr>
      </w:pPr>
      <w:bookmarkStart w:id="35" w:name="_Toc1569719"/>
      <w:bookmarkStart w:id="36" w:name="_Toc17649"/>
      <w:r>
        <w:rPr>
          <w:rFonts w:ascii="Times New Roman" w:hAnsi="Times New Roman" w:eastAsia="楷体_GB2312"/>
          <w:color w:val="auto"/>
          <w:szCs w:val="32"/>
        </w:rPr>
        <w:t>（一）环境影响分析与评价</w:t>
      </w:r>
      <w:bookmarkEnd w:id="35"/>
      <w:bookmarkEnd w:id="36"/>
    </w:p>
    <w:p>
      <w:pPr>
        <w:pStyle w:val="9"/>
        <w:spacing w:line="580" w:lineRule="exact"/>
        <w:ind w:firstLine="640"/>
        <w:rPr>
          <w:color w:val="auto"/>
          <w:sz w:val="32"/>
          <w:szCs w:val="32"/>
        </w:rPr>
      </w:pPr>
      <w:r>
        <w:rPr>
          <w:color w:val="auto"/>
          <w:sz w:val="32"/>
          <w:szCs w:val="32"/>
        </w:rPr>
        <w:t>（1）与相关规划协调性分析</w:t>
      </w:r>
    </w:p>
    <w:p>
      <w:pPr>
        <w:pStyle w:val="33"/>
        <w:shd w:val="clear" w:color="auto" w:fill="FFFFFF"/>
        <w:spacing w:before="0" w:beforeAutospacing="0" w:after="0" w:afterAutospacing="0" w:line="580" w:lineRule="exact"/>
        <w:ind w:firstLine="600"/>
        <w:jc w:val="both"/>
        <w:rPr>
          <w:rFonts w:ascii="Times New Roman" w:hAnsi="Times New Roman" w:eastAsia="仿宋_GB2312" w:cs="Times New Roman"/>
          <w:snapToGrid w:val="0"/>
          <w:color w:val="auto"/>
          <w:kern w:val="10"/>
          <w:sz w:val="32"/>
          <w:szCs w:val="32"/>
        </w:rPr>
      </w:pPr>
      <w:r>
        <w:rPr>
          <w:rFonts w:ascii="Times New Roman" w:hAnsi="Times New Roman" w:eastAsia="仿宋_GB2312" w:cs="Times New Roman"/>
          <w:snapToGrid w:val="0"/>
          <w:color w:val="auto"/>
          <w:kern w:val="10"/>
          <w:sz w:val="32"/>
          <w:szCs w:val="32"/>
        </w:rPr>
        <w:t>从规划与相关战略规划的协调性看，本规划能较好地与《生活垃圾无害化处理设施建设“十三五”规划大纲》（发改办环资〔2015〕2073号）《“十三五”全城镇生活垃圾无害化处理实施建设规划》（发改办环资〔2016〕2851号）等有关规划相协调，规划之间不存在矛盾和冲突。</w:t>
      </w:r>
      <w:r>
        <w:rPr>
          <w:rFonts w:hint="eastAsia" w:ascii="Times New Roman" w:hAnsi="Times New Roman" w:eastAsia="仿宋_GB2312" w:cs="Times New Roman"/>
          <w:snapToGrid w:val="0"/>
          <w:color w:val="auto"/>
          <w:kern w:val="10"/>
          <w:sz w:val="32"/>
          <w:szCs w:val="32"/>
        </w:rPr>
        <w:t>拟建</w:t>
      </w:r>
      <w:r>
        <w:rPr>
          <w:rFonts w:ascii="Times New Roman" w:hAnsi="Times New Roman" w:eastAsia="仿宋_GB2312" w:cs="Times New Roman"/>
          <w:snapToGrid w:val="0"/>
          <w:color w:val="auto"/>
          <w:kern w:val="10"/>
          <w:sz w:val="32"/>
          <w:szCs w:val="32"/>
        </w:rPr>
        <w:t>项目在规划选址中，</w:t>
      </w:r>
      <w:r>
        <w:rPr>
          <w:rFonts w:hint="eastAsia" w:ascii="Times New Roman" w:hAnsi="Times New Roman" w:eastAsia="仿宋_GB2312" w:cs="Times New Roman"/>
          <w:snapToGrid w:val="0"/>
          <w:color w:val="auto"/>
          <w:kern w:val="10"/>
          <w:sz w:val="32"/>
          <w:szCs w:val="32"/>
        </w:rPr>
        <w:t>与国土空间规划和地方环境保护规划</w:t>
      </w:r>
      <w:r>
        <w:rPr>
          <w:rFonts w:hint="eastAsia" w:ascii="Times New Roman" w:hAnsi="Times New Roman" w:eastAsia="仿宋_GB2312" w:cs="Times New Roman"/>
          <w:snapToGrid w:val="0"/>
          <w:color w:val="auto"/>
          <w:kern w:val="10"/>
          <w:sz w:val="32"/>
          <w:szCs w:val="32"/>
          <w:lang w:eastAsia="zh-CN"/>
        </w:rPr>
        <w:t>相</w:t>
      </w:r>
      <w:r>
        <w:rPr>
          <w:rFonts w:hint="eastAsia" w:ascii="Times New Roman" w:hAnsi="Times New Roman" w:eastAsia="仿宋_GB2312" w:cs="Times New Roman"/>
          <w:snapToGrid w:val="0"/>
          <w:color w:val="auto"/>
          <w:kern w:val="10"/>
          <w:sz w:val="32"/>
          <w:szCs w:val="32"/>
        </w:rPr>
        <w:t>衔接，</w:t>
      </w:r>
      <w:r>
        <w:rPr>
          <w:rFonts w:ascii="Times New Roman" w:hAnsi="Times New Roman" w:eastAsia="仿宋_GB2312" w:cs="Times New Roman"/>
          <w:snapToGrid w:val="0"/>
          <w:color w:val="auto"/>
          <w:kern w:val="10"/>
          <w:sz w:val="32"/>
          <w:szCs w:val="32"/>
        </w:rPr>
        <w:t>并满足</w:t>
      </w:r>
      <w:r>
        <w:rPr>
          <w:rFonts w:hint="eastAsia" w:ascii="Times New Roman" w:hAnsi="Times New Roman" w:eastAsia="仿宋_GB2312" w:cs="Times New Roman"/>
          <w:snapToGrid w:val="0"/>
          <w:color w:val="auto"/>
          <w:kern w:val="10"/>
          <w:sz w:val="32"/>
          <w:szCs w:val="32"/>
        </w:rPr>
        <w:t>《关于进一步加强生物质发电项目环境影响评价管理工作的通知》（环发〔2008〕82号）《生活垃圾焚烧发电建设项目环境准入条件（试行）》（环办环评〔2018〕20号）《四川省打赢蓝天保卫战实施方案》划定情况等要求</w:t>
      </w:r>
      <w:r>
        <w:rPr>
          <w:rFonts w:hint="eastAsia" w:ascii="Times New Roman" w:hAnsi="Times New Roman" w:eastAsia="仿宋_GB2312" w:cs="Times New Roman"/>
          <w:snapToGrid w:val="0"/>
          <w:color w:val="auto"/>
          <w:kern w:val="10"/>
          <w:sz w:val="32"/>
          <w:szCs w:val="32"/>
          <w:lang w:eastAsia="zh-CN"/>
        </w:rPr>
        <w:t>，与</w:t>
      </w:r>
      <w:r>
        <w:rPr>
          <w:rFonts w:hint="eastAsia" w:ascii="Times New Roman" w:hAnsi="Times New Roman" w:eastAsia="仿宋_GB2312" w:cs="Times New Roman"/>
          <w:snapToGrid w:val="0"/>
          <w:color w:val="auto"/>
          <w:kern w:val="10"/>
          <w:sz w:val="32"/>
          <w:szCs w:val="32"/>
        </w:rPr>
        <w:t>四川省“三线一单”</w:t>
      </w:r>
      <w:r>
        <w:rPr>
          <w:rFonts w:hint="eastAsia" w:ascii="Times New Roman" w:hAnsi="Times New Roman" w:eastAsia="仿宋_GB2312" w:cs="Times New Roman"/>
          <w:snapToGrid w:val="0"/>
          <w:color w:val="auto"/>
          <w:kern w:val="10"/>
          <w:sz w:val="32"/>
          <w:szCs w:val="32"/>
          <w:lang w:eastAsia="zh-CN"/>
        </w:rPr>
        <w:t>相衔接。</w:t>
      </w:r>
    </w:p>
    <w:p>
      <w:pPr>
        <w:pStyle w:val="33"/>
        <w:shd w:val="clear" w:color="auto" w:fill="FFFFFF"/>
        <w:spacing w:before="0" w:beforeAutospacing="0" w:after="0" w:afterAutospacing="0" w:line="580" w:lineRule="exact"/>
        <w:ind w:firstLine="600"/>
        <w:jc w:val="both"/>
        <w:rPr>
          <w:rFonts w:ascii="Times New Roman" w:hAnsi="Times New Roman" w:eastAsia="仿宋_GB2312" w:cs="Times New Roman"/>
          <w:snapToGrid w:val="0"/>
          <w:color w:val="auto"/>
          <w:kern w:val="10"/>
          <w:sz w:val="32"/>
          <w:szCs w:val="32"/>
        </w:rPr>
      </w:pPr>
      <w:r>
        <w:rPr>
          <w:rFonts w:hint="eastAsia" w:ascii="Times New Roman" w:hAnsi="Times New Roman" w:eastAsia="仿宋_GB2312" w:cs="Times New Roman"/>
          <w:snapToGrid w:val="0"/>
          <w:color w:val="auto"/>
          <w:kern w:val="10"/>
          <w:sz w:val="32"/>
          <w:szCs w:val="32"/>
        </w:rPr>
        <w:t>（2）项目</w:t>
      </w:r>
      <w:r>
        <w:rPr>
          <w:rFonts w:ascii="Times New Roman" w:hAnsi="Times New Roman" w:eastAsia="仿宋_GB2312" w:cs="Times New Roman"/>
          <w:snapToGrid w:val="0"/>
          <w:color w:val="auto"/>
          <w:kern w:val="10"/>
          <w:sz w:val="32"/>
          <w:szCs w:val="32"/>
        </w:rPr>
        <w:t>选址</w:t>
      </w:r>
    </w:p>
    <w:p>
      <w:pPr>
        <w:pStyle w:val="33"/>
        <w:shd w:val="clear" w:color="auto" w:fill="FFFFFF"/>
        <w:spacing w:before="0" w:beforeAutospacing="0" w:after="0" w:afterAutospacing="0" w:line="580" w:lineRule="exact"/>
        <w:ind w:firstLine="600"/>
        <w:jc w:val="both"/>
        <w:rPr>
          <w:rFonts w:hint="eastAsia" w:ascii="Times New Roman" w:hAnsi="Times New Roman" w:eastAsia="仿宋_GB2312" w:cs="Times New Roman"/>
          <w:snapToGrid w:val="0"/>
          <w:color w:val="auto"/>
          <w:kern w:val="10"/>
          <w:sz w:val="32"/>
          <w:szCs w:val="32"/>
        </w:rPr>
      </w:pPr>
      <w:r>
        <w:rPr>
          <w:rFonts w:hint="eastAsia" w:ascii="Times New Roman" w:hAnsi="Times New Roman" w:eastAsia="仿宋_GB2312" w:cs="Times New Roman"/>
          <w:snapToGrid w:val="0"/>
          <w:color w:val="auto"/>
          <w:kern w:val="10"/>
          <w:sz w:val="32"/>
          <w:szCs w:val="32"/>
        </w:rPr>
        <w:t>拟建</w:t>
      </w:r>
      <w:r>
        <w:rPr>
          <w:rFonts w:ascii="Times New Roman" w:hAnsi="Times New Roman" w:eastAsia="仿宋_GB2312" w:cs="Times New Roman"/>
          <w:snapToGrid w:val="0"/>
          <w:color w:val="auto"/>
          <w:kern w:val="10"/>
          <w:sz w:val="32"/>
          <w:szCs w:val="32"/>
        </w:rPr>
        <w:t>项目禁止在自然保护区、风景名胜区、饮用水水源保护区和永久基本农田等国家及地方法律法规、标准、政策明确禁止污染类项目选址的区域内建设生活垃圾焚烧发电项目。项目建设应当满足所在地大气污染防治、水资源保护、自然生态保护等要求</w:t>
      </w:r>
      <w:r>
        <w:rPr>
          <w:rFonts w:hint="eastAsia" w:ascii="Times New Roman" w:hAnsi="Times New Roman" w:eastAsia="仿宋_GB2312" w:cs="Times New Roman"/>
          <w:snapToGrid w:val="0"/>
          <w:color w:val="auto"/>
          <w:kern w:val="10"/>
          <w:sz w:val="32"/>
          <w:szCs w:val="32"/>
        </w:rPr>
        <w:t>。</w:t>
      </w:r>
      <w:r>
        <w:rPr>
          <w:rFonts w:ascii="Times New Roman" w:hAnsi="Times New Roman" w:eastAsia="仿宋_GB2312" w:cs="Times New Roman"/>
          <w:snapToGrid w:val="0"/>
          <w:color w:val="auto"/>
          <w:kern w:val="10"/>
          <w:sz w:val="32"/>
          <w:szCs w:val="32"/>
        </w:rPr>
        <w:t>鼓励利用现有生活垃圾处理设施用地改建或扩建生活垃圾焚烧发电设施，新建项目鼓励采用生活垃圾处理产业园区选址建设模式，预留项目改建或扩建用地</w:t>
      </w:r>
      <w:r>
        <w:rPr>
          <w:rFonts w:hint="eastAsia" w:ascii="Times New Roman" w:hAnsi="Times New Roman" w:eastAsia="仿宋_GB2312" w:cs="Times New Roman"/>
          <w:snapToGrid w:val="0"/>
          <w:color w:val="auto"/>
          <w:kern w:val="10"/>
          <w:sz w:val="32"/>
          <w:szCs w:val="32"/>
        </w:rPr>
        <w:t>。对于生态</w:t>
      </w:r>
      <w:r>
        <w:rPr>
          <w:rFonts w:ascii="Times New Roman" w:hAnsi="Times New Roman" w:eastAsia="仿宋_GB2312" w:cs="Times New Roman"/>
          <w:snapToGrid w:val="0"/>
          <w:color w:val="auto"/>
          <w:kern w:val="10"/>
          <w:sz w:val="32"/>
          <w:szCs w:val="32"/>
        </w:rPr>
        <w:t>红线敏感</w:t>
      </w:r>
      <w:r>
        <w:rPr>
          <w:rFonts w:hint="eastAsia" w:ascii="Times New Roman" w:hAnsi="Times New Roman" w:eastAsia="仿宋_GB2312" w:cs="Times New Roman"/>
          <w:snapToGrid w:val="0"/>
          <w:color w:val="auto"/>
          <w:kern w:val="10"/>
          <w:sz w:val="32"/>
          <w:szCs w:val="32"/>
        </w:rPr>
        <w:t>区</w:t>
      </w:r>
      <w:r>
        <w:rPr>
          <w:rFonts w:ascii="Times New Roman" w:hAnsi="Times New Roman" w:eastAsia="仿宋_GB2312" w:cs="Times New Roman"/>
          <w:snapToGrid w:val="0"/>
          <w:color w:val="auto"/>
          <w:kern w:val="10"/>
          <w:sz w:val="32"/>
          <w:szCs w:val="32"/>
        </w:rPr>
        <w:t>及脆弱区</w:t>
      </w:r>
      <w:r>
        <w:rPr>
          <w:rFonts w:hint="eastAsia" w:ascii="Times New Roman" w:hAnsi="Times New Roman" w:eastAsia="仿宋_GB2312" w:cs="Times New Roman"/>
          <w:snapToGrid w:val="0"/>
          <w:color w:val="auto"/>
          <w:kern w:val="10"/>
          <w:sz w:val="32"/>
          <w:szCs w:val="32"/>
        </w:rPr>
        <w:t>应进行</w:t>
      </w:r>
      <w:r>
        <w:rPr>
          <w:rFonts w:ascii="Times New Roman" w:hAnsi="Times New Roman" w:eastAsia="仿宋_GB2312" w:cs="Times New Roman"/>
          <w:snapToGrid w:val="0"/>
          <w:color w:val="auto"/>
          <w:kern w:val="10"/>
          <w:sz w:val="32"/>
          <w:szCs w:val="32"/>
        </w:rPr>
        <w:t>单独</w:t>
      </w:r>
      <w:r>
        <w:rPr>
          <w:rFonts w:hint="eastAsia" w:ascii="Times New Roman" w:hAnsi="Times New Roman" w:eastAsia="仿宋_GB2312" w:cs="Times New Roman"/>
          <w:snapToGrid w:val="0"/>
          <w:color w:val="auto"/>
          <w:kern w:val="10"/>
          <w:sz w:val="32"/>
          <w:szCs w:val="32"/>
        </w:rPr>
        <w:t>进行</w:t>
      </w:r>
      <w:r>
        <w:rPr>
          <w:rFonts w:hint="eastAsia" w:ascii="Times New Roman" w:hAnsi="Times New Roman" w:eastAsia="仿宋_GB2312" w:cs="Times New Roman"/>
          <w:snapToGrid w:val="0"/>
          <w:color w:val="auto"/>
          <w:kern w:val="10"/>
          <w:sz w:val="32"/>
          <w:szCs w:val="32"/>
          <w:lang w:eastAsia="zh-CN"/>
        </w:rPr>
        <w:t>选址</w:t>
      </w:r>
      <w:r>
        <w:rPr>
          <w:rFonts w:ascii="Times New Roman" w:hAnsi="Times New Roman" w:eastAsia="仿宋_GB2312" w:cs="Times New Roman"/>
          <w:snapToGrid w:val="0"/>
          <w:color w:val="auto"/>
          <w:kern w:val="10"/>
          <w:sz w:val="32"/>
          <w:szCs w:val="32"/>
        </w:rPr>
        <w:t>论证</w:t>
      </w:r>
      <w:r>
        <w:rPr>
          <w:rFonts w:hint="eastAsia" w:ascii="Times New Roman" w:hAnsi="Times New Roman" w:eastAsia="仿宋_GB2312" w:cs="Times New Roman"/>
          <w:snapToGrid w:val="0"/>
          <w:color w:val="auto"/>
          <w:kern w:val="10"/>
          <w:sz w:val="32"/>
          <w:szCs w:val="32"/>
          <w:lang w:eastAsia="zh-CN"/>
        </w:rPr>
        <w:t>，</w:t>
      </w:r>
      <w:r>
        <w:rPr>
          <w:rFonts w:hint="eastAsia" w:ascii="Times New Roman" w:hAnsi="Times New Roman" w:eastAsia="仿宋_GB2312" w:cs="Times New Roman"/>
          <w:snapToGrid w:val="0"/>
          <w:color w:val="auto"/>
          <w:kern w:val="10"/>
          <w:sz w:val="32"/>
          <w:szCs w:val="32"/>
        </w:rPr>
        <w:t>避免开工</w:t>
      </w:r>
      <w:r>
        <w:rPr>
          <w:rFonts w:ascii="Times New Roman" w:hAnsi="Times New Roman" w:eastAsia="仿宋_GB2312" w:cs="Times New Roman"/>
          <w:snapToGrid w:val="0"/>
          <w:color w:val="auto"/>
          <w:kern w:val="10"/>
          <w:sz w:val="32"/>
          <w:szCs w:val="32"/>
        </w:rPr>
        <w:t>前及建成运行后出现环境邻避</w:t>
      </w:r>
      <w:r>
        <w:rPr>
          <w:rFonts w:hint="eastAsia" w:ascii="Times New Roman" w:hAnsi="Times New Roman" w:eastAsia="仿宋_GB2312" w:cs="Times New Roman"/>
          <w:snapToGrid w:val="0"/>
          <w:color w:val="auto"/>
          <w:kern w:val="10"/>
          <w:sz w:val="32"/>
          <w:szCs w:val="32"/>
        </w:rPr>
        <w:t>效应</w:t>
      </w:r>
      <w:r>
        <w:rPr>
          <w:rFonts w:ascii="Times New Roman" w:hAnsi="Times New Roman" w:eastAsia="仿宋_GB2312" w:cs="Times New Roman"/>
          <w:snapToGrid w:val="0"/>
          <w:color w:val="auto"/>
          <w:kern w:val="10"/>
          <w:sz w:val="32"/>
          <w:szCs w:val="32"/>
        </w:rPr>
        <w:t>。</w:t>
      </w:r>
    </w:p>
    <w:p>
      <w:pPr>
        <w:pStyle w:val="9"/>
        <w:spacing w:line="580" w:lineRule="exact"/>
        <w:ind w:firstLine="640"/>
        <w:rPr>
          <w:color w:val="auto"/>
          <w:sz w:val="32"/>
          <w:szCs w:val="32"/>
        </w:rPr>
      </w:pPr>
      <w:r>
        <w:rPr>
          <w:rFonts w:hint="eastAsia"/>
          <w:color w:val="auto"/>
          <w:sz w:val="32"/>
          <w:szCs w:val="32"/>
        </w:rPr>
        <w:t>（3）工艺</w:t>
      </w:r>
      <w:r>
        <w:rPr>
          <w:color w:val="auto"/>
          <w:sz w:val="32"/>
          <w:szCs w:val="32"/>
        </w:rPr>
        <w:t>技术</w:t>
      </w:r>
    </w:p>
    <w:p>
      <w:pPr>
        <w:pStyle w:val="33"/>
        <w:shd w:val="clear" w:color="auto" w:fill="FFFFFF"/>
        <w:spacing w:before="0" w:beforeAutospacing="0" w:after="0" w:afterAutospacing="0" w:line="580" w:lineRule="exact"/>
        <w:ind w:firstLine="600"/>
        <w:jc w:val="both"/>
        <w:rPr>
          <w:rFonts w:hint="eastAsia" w:ascii="Times New Roman" w:hAnsi="Times New Roman" w:eastAsia="仿宋_GB2312" w:cs="Times New Roman"/>
          <w:snapToGrid w:val="0"/>
          <w:color w:val="auto"/>
          <w:kern w:val="10"/>
          <w:sz w:val="32"/>
          <w:szCs w:val="32"/>
        </w:rPr>
      </w:pPr>
      <w:r>
        <w:rPr>
          <w:rFonts w:hint="eastAsia" w:ascii="Times New Roman" w:hAnsi="Times New Roman" w:eastAsia="仿宋_GB2312" w:cs="Times New Roman"/>
          <w:snapToGrid w:val="0"/>
          <w:color w:val="auto"/>
          <w:kern w:val="10"/>
          <w:sz w:val="32"/>
          <w:szCs w:val="32"/>
        </w:rPr>
        <w:t>拟建</w:t>
      </w:r>
      <w:r>
        <w:rPr>
          <w:rFonts w:ascii="Times New Roman" w:hAnsi="Times New Roman" w:eastAsia="仿宋_GB2312" w:cs="Times New Roman"/>
          <w:snapToGrid w:val="0"/>
          <w:color w:val="auto"/>
          <w:kern w:val="10"/>
          <w:sz w:val="32"/>
          <w:szCs w:val="32"/>
        </w:rPr>
        <w:t>项目应选择先进</w:t>
      </w:r>
      <w:r>
        <w:rPr>
          <w:rFonts w:hint="eastAsia" w:ascii="Times New Roman" w:hAnsi="Times New Roman" w:eastAsia="仿宋_GB2312" w:cs="Times New Roman"/>
          <w:snapToGrid w:val="0"/>
          <w:color w:val="auto"/>
          <w:kern w:val="10"/>
          <w:sz w:val="32"/>
          <w:szCs w:val="32"/>
        </w:rPr>
        <w:t>、成熟</w:t>
      </w:r>
      <w:r>
        <w:rPr>
          <w:rFonts w:ascii="Times New Roman" w:hAnsi="Times New Roman" w:eastAsia="仿宋_GB2312" w:cs="Times New Roman"/>
          <w:snapToGrid w:val="0"/>
          <w:color w:val="auto"/>
          <w:kern w:val="10"/>
          <w:sz w:val="32"/>
          <w:szCs w:val="32"/>
        </w:rPr>
        <w:t>、可靠</w:t>
      </w:r>
      <w:r>
        <w:rPr>
          <w:rFonts w:hint="eastAsia" w:ascii="Times New Roman" w:hAnsi="Times New Roman" w:eastAsia="仿宋_GB2312" w:cs="Times New Roman"/>
          <w:snapToGrid w:val="0"/>
          <w:color w:val="auto"/>
          <w:kern w:val="10"/>
          <w:sz w:val="32"/>
          <w:szCs w:val="32"/>
        </w:rPr>
        <w:t>的技术，且</w:t>
      </w:r>
      <w:r>
        <w:rPr>
          <w:rFonts w:ascii="Times New Roman" w:hAnsi="Times New Roman" w:eastAsia="仿宋_GB2312" w:cs="Times New Roman"/>
          <w:snapToGrid w:val="0"/>
          <w:color w:val="auto"/>
          <w:kern w:val="10"/>
          <w:sz w:val="32"/>
          <w:szCs w:val="32"/>
        </w:rPr>
        <w:t>对当地生活垃圾特性适应性强的焚烧炉，在确定的垃圾特性范围内，保证额定处理能力。严禁选用不能达到污染物排放标准的焚烧炉。焚烧炉主要技术性能指标应满足炉膛内焚烧温度</w:t>
      </w:r>
      <w:r>
        <w:rPr>
          <w:rFonts w:hint="eastAsia" w:ascii="Times New Roman" w:hAnsi="Times New Roman" w:eastAsia="仿宋_GB2312" w:cs="Times New Roman"/>
          <w:snapToGrid w:val="0"/>
          <w:color w:val="auto"/>
          <w:kern w:val="10"/>
          <w:sz w:val="32"/>
          <w:szCs w:val="32"/>
          <w:lang w:eastAsia="zh-CN"/>
        </w:rPr>
        <w:t>≥</w:t>
      </w:r>
      <w:r>
        <w:rPr>
          <w:rFonts w:ascii="Times New Roman" w:hAnsi="Times New Roman" w:eastAsia="仿宋_GB2312" w:cs="Times New Roman"/>
          <w:snapToGrid w:val="0"/>
          <w:color w:val="auto"/>
          <w:kern w:val="10"/>
          <w:sz w:val="32"/>
          <w:szCs w:val="32"/>
        </w:rPr>
        <w:t>850</w:t>
      </w:r>
      <w:r>
        <w:rPr>
          <w:rFonts w:hint="eastAsia"/>
          <w:snapToGrid w:val="0"/>
          <w:color w:val="auto"/>
          <w:kern w:val="10"/>
          <w:sz w:val="32"/>
          <w:szCs w:val="32"/>
        </w:rPr>
        <w:t>℃</w:t>
      </w:r>
      <w:r>
        <w:rPr>
          <w:rFonts w:ascii="Times New Roman" w:hAnsi="Times New Roman" w:eastAsia="仿宋_GB2312" w:cs="Times New Roman"/>
          <w:snapToGrid w:val="0"/>
          <w:color w:val="auto"/>
          <w:kern w:val="10"/>
          <w:sz w:val="32"/>
          <w:szCs w:val="32"/>
        </w:rPr>
        <w:t>，炉膛内烟气停留时间</w:t>
      </w:r>
      <w:r>
        <w:rPr>
          <w:rFonts w:hint="eastAsia" w:ascii="Times New Roman" w:hAnsi="Times New Roman" w:eastAsia="仿宋_GB2312" w:cs="Times New Roman"/>
          <w:snapToGrid w:val="0"/>
          <w:color w:val="auto"/>
          <w:kern w:val="10"/>
          <w:sz w:val="32"/>
          <w:szCs w:val="32"/>
          <w:lang w:eastAsia="zh-CN"/>
        </w:rPr>
        <w:t>≥</w:t>
      </w:r>
      <w:r>
        <w:rPr>
          <w:rFonts w:ascii="Times New Roman" w:hAnsi="Times New Roman" w:eastAsia="仿宋_GB2312" w:cs="Times New Roman"/>
          <w:snapToGrid w:val="0"/>
          <w:color w:val="auto"/>
          <w:kern w:val="10"/>
          <w:sz w:val="32"/>
          <w:szCs w:val="32"/>
        </w:rPr>
        <w:t>2秒，焚烧炉渣热灼减率</w:t>
      </w:r>
      <w:r>
        <w:rPr>
          <w:rFonts w:hint="eastAsia" w:ascii="Times New Roman" w:hAnsi="Times New Roman" w:eastAsia="仿宋_GB2312" w:cs="Times New Roman"/>
          <w:snapToGrid w:val="0"/>
          <w:color w:val="auto"/>
          <w:kern w:val="10"/>
          <w:sz w:val="32"/>
          <w:szCs w:val="32"/>
          <w:lang w:eastAsia="zh-CN"/>
        </w:rPr>
        <w:t>≤</w:t>
      </w:r>
      <w:r>
        <w:rPr>
          <w:rFonts w:ascii="Times New Roman" w:hAnsi="Times New Roman" w:eastAsia="仿宋_GB2312" w:cs="Times New Roman"/>
          <w:snapToGrid w:val="0"/>
          <w:color w:val="auto"/>
          <w:kern w:val="10"/>
          <w:sz w:val="32"/>
          <w:szCs w:val="32"/>
        </w:rPr>
        <w:t>5%。</w:t>
      </w:r>
      <w:r>
        <w:rPr>
          <w:rFonts w:hint="eastAsia" w:ascii="Times New Roman" w:hAnsi="Times New Roman" w:eastAsia="仿宋_GB2312" w:cs="Times New Roman"/>
          <w:snapToGrid w:val="0"/>
          <w:color w:val="auto"/>
          <w:kern w:val="10"/>
          <w:sz w:val="32"/>
          <w:szCs w:val="32"/>
        </w:rPr>
        <w:t>需</w:t>
      </w:r>
      <w:r>
        <w:rPr>
          <w:rFonts w:ascii="Times New Roman" w:hAnsi="Times New Roman" w:eastAsia="仿宋_GB2312" w:cs="Times New Roman"/>
          <w:snapToGrid w:val="0"/>
          <w:color w:val="auto"/>
          <w:kern w:val="10"/>
          <w:sz w:val="32"/>
          <w:szCs w:val="32"/>
        </w:rPr>
        <w:t>采用“3T+E”控制法使生活垃圾在焚烧炉内充分燃烧。</w:t>
      </w:r>
    </w:p>
    <w:p>
      <w:pPr>
        <w:pStyle w:val="9"/>
        <w:spacing w:line="580" w:lineRule="exact"/>
        <w:ind w:firstLine="640"/>
        <w:rPr>
          <w:color w:val="auto"/>
          <w:sz w:val="32"/>
          <w:szCs w:val="32"/>
        </w:rPr>
      </w:pPr>
      <w:r>
        <w:rPr>
          <w:rFonts w:hint="eastAsia"/>
          <w:color w:val="auto"/>
          <w:sz w:val="32"/>
          <w:szCs w:val="32"/>
        </w:rPr>
        <w:t>（4）排放要求</w:t>
      </w:r>
    </w:p>
    <w:p>
      <w:pPr>
        <w:pStyle w:val="33"/>
        <w:shd w:val="clear" w:color="auto" w:fill="FFFFFF"/>
        <w:spacing w:before="0" w:beforeAutospacing="0" w:after="0" w:afterAutospacing="0" w:line="580" w:lineRule="exact"/>
        <w:ind w:firstLine="600"/>
        <w:jc w:val="both"/>
        <w:rPr>
          <w:rFonts w:hint="eastAsia" w:ascii="Times New Roman" w:hAnsi="Times New Roman" w:eastAsia="仿宋_GB2312" w:cs="Times New Roman"/>
          <w:snapToGrid w:val="0"/>
          <w:color w:val="auto"/>
          <w:kern w:val="10"/>
          <w:sz w:val="32"/>
          <w:szCs w:val="32"/>
        </w:rPr>
      </w:pPr>
      <w:r>
        <w:rPr>
          <w:rFonts w:hint="eastAsia" w:ascii="Times New Roman" w:hAnsi="Times New Roman" w:eastAsia="仿宋_GB2312" w:cs="Times New Roman"/>
          <w:snapToGrid w:val="0"/>
          <w:color w:val="auto"/>
          <w:kern w:val="10"/>
          <w:sz w:val="32"/>
          <w:szCs w:val="32"/>
        </w:rPr>
        <w:t>拟建</w:t>
      </w:r>
      <w:r>
        <w:rPr>
          <w:rFonts w:ascii="Times New Roman" w:hAnsi="Times New Roman" w:eastAsia="仿宋_GB2312" w:cs="Times New Roman"/>
          <w:snapToGrid w:val="0"/>
          <w:color w:val="auto"/>
          <w:kern w:val="10"/>
          <w:sz w:val="32"/>
          <w:szCs w:val="32"/>
        </w:rPr>
        <w:t>项目应采取高效废气污染控制措施。烟气净化工艺流程的选择应符合《生活垃圾焚烧处理工程技术规范》(CJJ90)等相关要求。</w:t>
      </w:r>
      <w:r>
        <w:rPr>
          <w:rFonts w:hint="eastAsia" w:ascii="Times New Roman" w:hAnsi="Times New Roman" w:eastAsia="仿宋_GB2312" w:cs="Times New Roman"/>
          <w:snapToGrid w:val="0"/>
          <w:color w:val="auto"/>
          <w:kern w:val="10"/>
          <w:sz w:val="32"/>
          <w:szCs w:val="32"/>
        </w:rPr>
        <w:t>重点</w:t>
      </w:r>
      <w:r>
        <w:rPr>
          <w:rFonts w:ascii="Times New Roman" w:hAnsi="Times New Roman" w:eastAsia="仿宋_GB2312" w:cs="Times New Roman"/>
          <w:snapToGrid w:val="0"/>
          <w:color w:val="auto"/>
          <w:kern w:val="10"/>
          <w:sz w:val="32"/>
          <w:szCs w:val="32"/>
        </w:rPr>
        <w:t>关注活性炭喷射量/烟气体积、袋式除尘器过滤风速等指标。</w:t>
      </w:r>
      <w:r>
        <w:rPr>
          <w:rFonts w:hint="eastAsia" w:ascii="Times New Roman" w:hAnsi="Times New Roman" w:eastAsia="仿宋_GB2312" w:cs="Times New Roman"/>
          <w:snapToGrid w:val="0"/>
          <w:color w:val="auto"/>
          <w:kern w:val="10"/>
          <w:sz w:val="32"/>
          <w:szCs w:val="32"/>
        </w:rPr>
        <w:t>有条件</w:t>
      </w:r>
      <w:r>
        <w:rPr>
          <w:rFonts w:ascii="Times New Roman" w:hAnsi="Times New Roman" w:eastAsia="仿宋_GB2312" w:cs="Times New Roman"/>
          <w:snapToGrid w:val="0"/>
          <w:color w:val="auto"/>
          <w:kern w:val="10"/>
          <w:sz w:val="32"/>
          <w:szCs w:val="32"/>
        </w:rPr>
        <w:t>地区率先开展二</w:t>
      </w:r>
      <w:r>
        <w:rPr>
          <w:rFonts w:hint="eastAsia" w:ascii="仿宋_GB2312" w:hAnsi="仿宋_GB2312" w:eastAsia="仿宋_GB2312" w:cs="仿宋_GB2312"/>
          <w:snapToGrid w:val="0"/>
          <w:color w:val="auto"/>
          <w:kern w:val="10"/>
          <w:sz w:val="32"/>
          <w:szCs w:val="32"/>
        </w:rPr>
        <w:t>噁</w:t>
      </w:r>
      <w:r>
        <w:rPr>
          <w:rFonts w:hint="eastAsia" w:ascii="Times New Roman" w:hAnsi="Times New Roman" w:eastAsia="仿宋_GB2312" w:cs="Times New Roman"/>
          <w:snapToGrid w:val="0"/>
          <w:color w:val="auto"/>
          <w:kern w:val="10"/>
          <w:sz w:val="32"/>
          <w:szCs w:val="32"/>
        </w:rPr>
        <w:t>英及重金属烟气深度净化装置。</w:t>
      </w:r>
      <w:r>
        <w:rPr>
          <w:rFonts w:ascii="Times New Roman" w:hAnsi="Times New Roman" w:eastAsia="仿宋_GB2312" w:cs="Times New Roman"/>
          <w:snapToGrid w:val="0"/>
          <w:color w:val="auto"/>
          <w:kern w:val="10"/>
          <w:sz w:val="32"/>
          <w:szCs w:val="32"/>
        </w:rPr>
        <w:t>焚烧处理后的烟气应采用独立的排气筒排放，多台焚烧炉的排气筒可采用多筒集束式排放，外排烟气和排气筒高度应当满足《生活垃圾焚烧污染控制标准》（GB18485）和地方相关标准要求。</w:t>
      </w:r>
      <w:r>
        <w:rPr>
          <w:rFonts w:hint="eastAsia" w:ascii="Times New Roman" w:hAnsi="Times New Roman" w:eastAsia="仿宋_GB2312" w:cs="Times New Roman"/>
          <w:snapToGrid w:val="0"/>
          <w:color w:val="auto"/>
          <w:kern w:val="10"/>
          <w:sz w:val="32"/>
          <w:szCs w:val="32"/>
        </w:rPr>
        <w:t>严格涉</w:t>
      </w:r>
      <w:r>
        <w:rPr>
          <w:rFonts w:hint="eastAsia" w:ascii="Times New Roman" w:hAnsi="Times New Roman" w:eastAsia="仿宋_GB2312" w:cs="Times New Roman"/>
          <w:snapToGrid w:val="0"/>
          <w:color w:val="auto"/>
          <w:kern w:val="10"/>
          <w:sz w:val="32"/>
          <w:szCs w:val="32"/>
          <w:lang w:eastAsia="zh-CN"/>
        </w:rPr>
        <w:t>挥发性有机物（</w:t>
      </w:r>
      <w:r>
        <w:rPr>
          <w:rFonts w:hint="eastAsia" w:ascii="Times New Roman" w:hAnsi="Times New Roman" w:eastAsia="仿宋_GB2312" w:cs="Times New Roman"/>
          <w:snapToGrid w:val="0"/>
          <w:color w:val="auto"/>
          <w:kern w:val="10"/>
          <w:sz w:val="32"/>
          <w:szCs w:val="32"/>
        </w:rPr>
        <w:t>VOCs</w:t>
      </w:r>
      <w:r>
        <w:rPr>
          <w:rFonts w:hint="eastAsia" w:ascii="Times New Roman" w:hAnsi="Times New Roman" w:eastAsia="仿宋_GB2312" w:cs="Times New Roman"/>
          <w:snapToGrid w:val="0"/>
          <w:color w:val="auto"/>
          <w:kern w:val="10"/>
          <w:sz w:val="32"/>
          <w:szCs w:val="32"/>
          <w:lang w:eastAsia="zh-CN"/>
        </w:rPr>
        <w:t>）</w:t>
      </w:r>
      <w:r>
        <w:rPr>
          <w:rFonts w:hint="eastAsia" w:ascii="Times New Roman" w:hAnsi="Times New Roman" w:eastAsia="仿宋_GB2312" w:cs="Times New Roman"/>
          <w:snapToGrid w:val="0"/>
          <w:color w:val="auto"/>
          <w:kern w:val="10"/>
          <w:sz w:val="32"/>
          <w:szCs w:val="32"/>
        </w:rPr>
        <w:t>建设项目环境影响评价</w:t>
      </w:r>
      <w:r>
        <w:rPr>
          <w:rFonts w:hint="eastAsia" w:ascii="Times New Roman" w:hAnsi="Times New Roman" w:eastAsia="仿宋_GB2312" w:cs="Times New Roman"/>
          <w:snapToGrid w:val="0"/>
          <w:color w:val="auto"/>
          <w:kern w:val="10"/>
          <w:sz w:val="32"/>
          <w:szCs w:val="32"/>
          <w:lang w:eastAsia="zh-CN"/>
        </w:rPr>
        <w:t>，</w:t>
      </w:r>
      <w:r>
        <w:rPr>
          <w:rFonts w:hint="eastAsia" w:ascii="Times New Roman" w:hAnsi="Times New Roman" w:eastAsia="仿宋_GB2312" w:cs="Times New Roman"/>
          <w:snapToGrid w:val="0"/>
          <w:color w:val="auto"/>
          <w:kern w:val="10"/>
          <w:sz w:val="32"/>
          <w:szCs w:val="32"/>
        </w:rPr>
        <w:t>实行区域内VOCs排放等量或倍量削减替代</w:t>
      </w:r>
      <w:r>
        <w:rPr>
          <w:rFonts w:ascii="Times New Roman" w:hAnsi="Times New Roman" w:eastAsia="仿宋_GB2312" w:cs="Times New Roman"/>
          <w:snapToGrid w:val="0"/>
          <w:color w:val="auto"/>
          <w:kern w:val="10"/>
          <w:sz w:val="32"/>
          <w:szCs w:val="32"/>
        </w:rPr>
        <w:t>。</w:t>
      </w:r>
    </w:p>
    <w:p>
      <w:pPr>
        <w:pStyle w:val="33"/>
        <w:shd w:val="clear" w:color="auto" w:fill="FFFFFF"/>
        <w:spacing w:before="0" w:beforeAutospacing="0" w:after="0" w:afterAutospacing="0" w:line="580" w:lineRule="exact"/>
        <w:ind w:firstLine="600"/>
        <w:jc w:val="both"/>
        <w:rPr>
          <w:rFonts w:ascii="Times New Roman" w:hAnsi="Times New Roman" w:eastAsia="仿宋_GB2312" w:cs="Times New Roman"/>
          <w:snapToGrid w:val="0"/>
          <w:color w:val="auto"/>
          <w:kern w:val="10"/>
          <w:sz w:val="32"/>
          <w:szCs w:val="32"/>
        </w:rPr>
      </w:pPr>
      <w:r>
        <w:rPr>
          <w:rFonts w:ascii="Times New Roman" w:hAnsi="Times New Roman" w:eastAsia="仿宋_GB2312" w:cs="Times New Roman"/>
          <w:snapToGrid w:val="0"/>
          <w:color w:val="auto"/>
          <w:kern w:val="10"/>
          <w:sz w:val="32"/>
          <w:szCs w:val="32"/>
        </w:rPr>
        <w:t>严格恶臭气体的无组织排放治理，生活垃圾装卸、贮存设施、渗滤液收集和处理设施等应当采取密闭负压措施，并保证其在运行期和停炉期均处于负压状态。正常运行时设施内气体应当通过焚烧炉高温处理，停炉等状态下应当收集并经除臭处理满足《恶臭污染物排放标准》</w:t>
      </w:r>
      <w:r>
        <w:rPr>
          <w:rFonts w:hint="eastAsia" w:ascii="Times New Roman" w:hAnsi="Times New Roman" w:eastAsia="仿宋_GB2312" w:cs="Times New Roman"/>
          <w:snapToGrid w:val="0"/>
          <w:color w:val="auto"/>
          <w:kern w:val="10"/>
          <w:sz w:val="32"/>
          <w:szCs w:val="32"/>
        </w:rPr>
        <w:t>（</w:t>
      </w:r>
      <w:r>
        <w:rPr>
          <w:rFonts w:ascii="Times New Roman" w:hAnsi="Times New Roman" w:eastAsia="仿宋_GB2312" w:cs="Times New Roman"/>
          <w:snapToGrid w:val="0"/>
          <w:color w:val="auto"/>
          <w:kern w:val="10"/>
          <w:sz w:val="32"/>
          <w:szCs w:val="32"/>
        </w:rPr>
        <w:t>GB14554</w:t>
      </w:r>
      <w:r>
        <w:rPr>
          <w:rFonts w:hint="eastAsia" w:ascii="Times New Roman" w:hAnsi="Times New Roman" w:eastAsia="仿宋_GB2312" w:cs="Times New Roman"/>
          <w:snapToGrid w:val="0"/>
          <w:color w:val="auto"/>
          <w:kern w:val="10"/>
          <w:sz w:val="32"/>
          <w:szCs w:val="32"/>
        </w:rPr>
        <w:t>）</w:t>
      </w:r>
      <w:r>
        <w:rPr>
          <w:rFonts w:ascii="Times New Roman" w:hAnsi="Times New Roman" w:eastAsia="仿宋_GB2312" w:cs="Times New Roman"/>
          <w:snapToGrid w:val="0"/>
          <w:color w:val="auto"/>
          <w:kern w:val="10"/>
          <w:sz w:val="32"/>
          <w:szCs w:val="32"/>
        </w:rPr>
        <w:t>要求后排放。</w:t>
      </w:r>
    </w:p>
    <w:p>
      <w:pPr>
        <w:pStyle w:val="33"/>
        <w:shd w:val="clear" w:color="auto" w:fill="FFFFFF"/>
        <w:spacing w:before="0" w:beforeAutospacing="0" w:after="0" w:afterAutospacing="0" w:line="580" w:lineRule="exact"/>
        <w:ind w:firstLine="600"/>
        <w:jc w:val="both"/>
        <w:rPr>
          <w:rFonts w:ascii="Times New Roman" w:hAnsi="Times New Roman" w:eastAsia="仿宋_GB2312" w:cs="Times New Roman"/>
          <w:snapToGrid w:val="0"/>
          <w:color w:val="auto"/>
          <w:kern w:val="10"/>
          <w:sz w:val="32"/>
          <w:szCs w:val="32"/>
        </w:rPr>
      </w:pPr>
      <w:r>
        <w:rPr>
          <w:rFonts w:hint="eastAsia" w:ascii="Times New Roman" w:hAnsi="Times New Roman" w:eastAsia="仿宋_GB2312" w:cs="Times New Roman"/>
          <w:snapToGrid w:val="0"/>
          <w:color w:val="auto"/>
          <w:kern w:val="10"/>
          <w:sz w:val="32"/>
          <w:szCs w:val="32"/>
        </w:rPr>
        <w:t>焚烧飞灰应当严格按照国家危险废物相关管理规定进行运输和无害化安全处置，焚烧飞灰经处理后须按环评报告及批复要求开展相关检测，符合《生活垃圾填埋场污染控制标准》（GB16889）要求后，可豁免进入生活垃圾填埋场独立分区填埋；满足《水泥窑协同处置固体废物污染控制标准》（GB30485）要求后，可豁免进入水泥窑协同处置</w:t>
      </w:r>
      <w:r>
        <w:rPr>
          <w:rFonts w:ascii="Times New Roman" w:hAnsi="Times New Roman" w:eastAsia="仿宋_GB2312" w:cs="Times New Roman"/>
          <w:snapToGrid w:val="0"/>
          <w:color w:val="auto"/>
          <w:kern w:val="10"/>
          <w:sz w:val="32"/>
          <w:szCs w:val="32"/>
        </w:rPr>
        <w:t>。废脱硝催化剂等其他危险废物须按照相关要求妥善处置。产生的污泥或浓缩液应当在厂内妥善处置。鼓励配套建设垃圾焚烧残渣、飞灰处理处置设施。</w:t>
      </w:r>
    </w:p>
    <w:p>
      <w:pPr>
        <w:pStyle w:val="33"/>
        <w:shd w:val="clear" w:color="auto" w:fill="FFFFFF"/>
        <w:spacing w:before="0" w:beforeAutospacing="0" w:after="0" w:afterAutospacing="0" w:line="580" w:lineRule="exact"/>
        <w:ind w:firstLine="600"/>
        <w:jc w:val="both"/>
        <w:rPr>
          <w:rFonts w:hint="eastAsia" w:ascii="Times New Roman" w:hAnsi="Times New Roman" w:eastAsia="仿宋_GB2312" w:cs="Times New Roman"/>
          <w:snapToGrid w:val="0"/>
          <w:color w:val="auto"/>
          <w:kern w:val="10"/>
          <w:sz w:val="32"/>
          <w:szCs w:val="32"/>
        </w:rPr>
      </w:pPr>
      <w:r>
        <w:rPr>
          <w:rFonts w:hint="eastAsia" w:ascii="Times New Roman" w:hAnsi="Times New Roman" w:eastAsia="仿宋_GB2312" w:cs="Times New Roman"/>
          <w:snapToGrid w:val="0"/>
          <w:color w:val="auto"/>
          <w:kern w:val="10"/>
          <w:sz w:val="32"/>
          <w:szCs w:val="32"/>
        </w:rPr>
        <w:t>生活</w:t>
      </w:r>
      <w:r>
        <w:rPr>
          <w:rFonts w:ascii="Times New Roman" w:hAnsi="Times New Roman" w:eastAsia="仿宋_GB2312" w:cs="Times New Roman"/>
          <w:snapToGrid w:val="0"/>
          <w:color w:val="auto"/>
          <w:kern w:val="10"/>
          <w:sz w:val="32"/>
          <w:szCs w:val="32"/>
        </w:rPr>
        <w:t>垃圾焚烧发电项目应建立完善重点污染源监控体系</w:t>
      </w:r>
      <w:r>
        <w:rPr>
          <w:rFonts w:hint="eastAsia" w:ascii="Times New Roman" w:hAnsi="Times New Roman" w:eastAsia="仿宋_GB2312" w:cs="Times New Roman"/>
          <w:snapToGrid w:val="0"/>
          <w:color w:val="auto"/>
          <w:kern w:val="10"/>
          <w:sz w:val="32"/>
          <w:szCs w:val="32"/>
        </w:rPr>
        <w:t>，</w:t>
      </w:r>
      <w:r>
        <w:rPr>
          <w:rFonts w:ascii="Times New Roman" w:hAnsi="Times New Roman" w:eastAsia="仿宋_GB2312" w:cs="Times New Roman"/>
          <w:snapToGrid w:val="0"/>
          <w:color w:val="auto"/>
          <w:kern w:val="10"/>
          <w:sz w:val="32"/>
          <w:szCs w:val="32"/>
        </w:rPr>
        <w:t>覆盖常规污染物、特征污染物的环境监测体系，实现烟气中一氧化碳、颗粒物、二氧化硫、氮氧化物、氯化氢和焚烧运行工况指标中炉内一氧化碳浓度、燃烧温度、含氧量在线监测，并与环境保护部门联网</w:t>
      </w:r>
      <w:r>
        <w:rPr>
          <w:rFonts w:hint="eastAsia" w:ascii="Times New Roman" w:hAnsi="Times New Roman" w:eastAsia="仿宋_GB2312" w:cs="Times New Roman"/>
          <w:snapToGrid w:val="0"/>
          <w:color w:val="auto"/>
          <w:kern w:val="10"/>
          <w:sz w:val="32"/>
          <w:szCs w:val="32"/>
        </w:rPr>
        <w:t>。</w:t>
      </w:r>
      <w:bookmarkStart w:id="37" w:name="_Toc19470"/>
      <w:bookmarkStart w:id="38" w:name="_Toc1569721"/>
    </w:p>
    <w:p>
      <w:pPr>
        <w:pStyle w:val="3"/>
        <w:spacing w:before="0" w:after="0" w:line="580" w:lineRule="exact"/>
        <w:ind w:firstLine="531" w:firstLineChars="166"/>
        <w:rPr>
          <w:rFonts w:ascii="Times New Roman" w:hAnsi="Times New Roman" w:eastAsia="楷体_GB2312"/>
          <w:color w:val="auto"/>
          <w:szCs w:val="32"/>
        </w:rPr>
      </w:pPr>
      <w:r>
        <w:rPr>
          <w:rFonts w:ascii="Times New Roman" w:hAnsi="Times New Roman" w:eastAsia="楷体_GB2312"/>
          <w:color w:val="auto"/>
          <w:szCs w:val="32"/>
        </w:rPr>
        <w:t>（</w:t>
      </w:r>
      <w:r>
        <w:rPr>
          <w:rFonts w:hint="eastAsia" w:ascii="Times New Roman" w:hAnsi="Times New Roman" w:eastAsia="楷体_GB2312"/>
          <w:color w:val="auto"/>
          <w:szCs w:val="32"/>
        </w:rPr>
        <w:t>二</w:t>
      </w:r>
      <w:r>
        <w:rPr>
          <w:rFonts w:ascii="Times New Roman" w:hAnsi="Times New Roman" w:eastAsia="楷体_GB2312"/>
          <w:color w:val="auto"/>
          <w:szCs w:val="32"/>
        </w:rPr>
        <w:t>）综合评述</w:t>
      </w:r>
      <w:bookmarkEnd w:id="37"/>
      <w:bookmarkEnd w:id="38"/>
    </w:p>
    <w:p>
      <w:pPr>
        <w:pStyle w:val="33"/>
        <w:shd w:val="clear" w:color="auto" w:fill="FFFFFF"/>
        <w:spacing w:before="0" w:beforeAutospacing="0" w:after="0" w:afterAutospacing="0" w:line="580" w:lineRule="exact"/>
        <w:ind w:firstLine="600"/>
        <w:jc w:val="both"/>
        <w:rPr>
          <w:rFonts w:ascii="Times New Roman" w:hAnsi="Times New Roman" w:eastAsia="黑体" w:cs="Times New Roman"/>
          <w:color w:val="auto"/>
          <w:sz w:val="32"/>
          <w:szCs w:val="32"/>
        </w:rPr>
      </w:pPr>
      <w:r>
        <w:rPr>
          <w:rFonts w:ascii="Times New Roman" w:hAnsi="Times New Roman" w:eastAsia="仿宋_GB2312" w:cs="Times New Roman"/>
          <w:snapToGrid w:val="0"/>
          <w:color w:val="auto"/>
          <w:kern w:val="10"/>
          <w:sz w:val="32"/>
          <w:szCs w:val="32"/>
        </w:rPr>
        <w:t>《规划》</w:t>
      </w:r>
      <w:r>
        <w:rPr>
          <w:rFonts w:hint="eastAsia" w:ascii="Times New Roman" w:hAnsi="Times New Roman" w:eastAsia="仿宋_GB2312" w:cs="Times New Roman"/>
          <w:snapToGrid w:val="0"/>
          <w:color w:val="auto"/>
          <w:kern w:val="10"/>
          <w:sz w:val="32"/>
          <w:szCs w:val="32"/>
          <w:lang w:eastAsia="zh-CN"/>
        </w:rPr>
        <w:t>与</w:t>
      </w:r>
      <w:r>
        <w:rPr>
          <w:rFonts w:ascii="Times New Roman" w:hAnsi="Times New Roman" w:eastAsia="仿宋_GB2312" w:cs="Times New Roman"/>
          <w:snapToGrid w:val="0"/>
          <w:color w:val="auto"/>
          <w:kern w:val="10"/>
          <w:sz w:val="32"/>
          <w:szCs w:val="32"/>
        </w:rPr>
        <w:t>《生活垃圾无害化处理设施建设“十三五”规划大纲》（发改办环资〔2015〕2073号）《“十三五”全城镇生活垃圾无害化处理实施建设规划》（发改办环资〔2016〕2851号）《关于进一步做好生活垃圾焚烧发电厂规划选址工作的通知》（发改环资规〔2017〕2166号）等相关规划基本协调。</w:t>
      </w:r>
      <w:r>
        <w:rPr>
          <w:rFonts w:hint="eastAsia" w:ascii="Times New Roman" w:hAnsi="Times New Roman" w:eastAsia="仿宋_GB2312" w:cs="Times New Roman"/>
          <w:snapToGrid w:val="0"/>
          <w:color w:val="auto"/>
          <w:kern w:val="10"/>
          <w:sz w:val="32"/>
          <w:szCs w:val="32"/>
        </w:rPr>
        <w:t>2020前</w:t>
      </w:r>
      <w:r>
        <w:rPr>
          <w:rFonts w:ascii="Times New Roman" w:hAnsi="Times New Roman" w:eastAsia="仿宋_GB2312" w:cs="Times New Roman"/>
          <w:snapToGrid w:val="0"/>
          <w:color w:val="auto"/>
          <w:kern w:val="10"/>
          <w:sz w:val="32"/>
          <w:szCs w:val="32"/>
        </w:rPr>
        <w:t>开工建设项目</w:t>
      </w:r>
      <w:r>
        <w:rPr>
          <w:rFonts w:hint="eastAsia" w:ascii="Times New Roman" w:hAnsi="Times New Roman" w:eastAsia="仿宋_GB2312" w:cs="Times New Roman"/>
          <w:snapToGrid w:val="0"/>
          <w:color w:val="auto"/>
          <w:kern w:val="10"/>
          <w:sz w:val="32"/>
          <w:szCs w:val="32"/>
        </w:rPr>
        <w:t>已</w:t>
      </w:r>
      <w:r>
        <w:rPr>
          <w:rFonts w:ascii="Times New Roman" w:hAnsi="Times New Roman" w:eastAsia="仿宋_GB2312" w:cs="Times New Roman"/>
          <w:snapToGrid w:val="0"/>
          <w:color w:val="auto"/>
          <w:kern w:val="10"/>
          <w:sz w:val="32"/>
          <w:szCs w:val="32"/>
        </w:rPr>
        <w:t>按要求</w:t>
      </w:r>
      <w:r>
        <w:rPr>
          <w:rFonts w:hint="eastAsia" w:ascii="Times New Roman" w:hAnsi="Times New Roman" w:eastAsia="仿宋_GB2312" w:cs="Times New Roman"/>
          <w:snapToGrid w:val="0"/>
          <w:color w:val="auto"/>
          <w:kern w:val="10"/>
          <w:sz w:val="32"/>
          <w:szCs w:val="32"/>
        </w:rPr>
        <w:t>完成了</w:t>
      </w:r>
      <w:r>
        <w:rPr>
          <w:rFonts w:ascii="Times New Roman" w:hAnsi="Times New Roman" w:eastAsia="仿宋_GB2312" w:cs="Times New Roman"/>
          <w:snapToGrid w:val="0"/>
          <w:color w:val="auto"/>
          <w:kern w:val="10"/>
          <w:sz w:val="32"/>
          <w:szCs w:val="32"/>
        </w:rPr>
        <w:t>环境影响报告</w:t>
      </w:r>
      <w:r>
        <w:rPr>
          <w:rFonts w:hint="eastAsia" w:ascii="Times New Roman" w:hAnsi="Times New Roman" w:eastAsia="仿宋_GB2312" w:cs="Times New Roman"/>
          <w:snapToGrid w:val="0"/>
          <w:color w:val="auto"/>
          <w:kern w:val="10"/>
          <w:sz w:val="32"/>
          <w:szCs w:val="32"/>
        </w:rPr>
        <w:t>的</w:t>
      </w:r>
      <w:r>
        <w:rPr>
          <w:rFonts w:ascii="Times New Roman" w:hAnsi="Times New Roman" w:eastAsia="仿宋_GB2312" w:cs="Times New Roman"/>
          <w:snapToGrid w:val="0"/>
          <w:color w:val="auto"/>
          <w:kern w:val="10"/>
          <w:sz w:val="32"/>
          <w:szCs w:val="32"/>
        </w:rPr>
        <w:t>编制工作。</w:t>
      </w:r>
      <w:r>
        <w:rPr>
          <w:rFonts w:hint="eastAsia" w:ascii="Times New Roman" w:hAnsi="Times New Roman" w:eastAsia="仿宋_GB2312" w:cs="Times New Roman"/>
          <w:snapToGrid w:val="0"/>
          <w:color w:val="auto"/>
          <w:kern w:val="10"/>
          <w:sz w:val="32"/>
          <w:szCs w:val="32"/>
        </w:rPr>
        <w:t>2</w:t>
      </w:r>
      <w:r>
        <w:rPr>
          <w:rFonts w:ascii="Times New Roman" w:hAnsi="Times New Roman" w:eastAsia="仿宋_GB2312" w:cs="Times New Roman"/>
          <w:snapToGrid w:val="0"/>
          <w:color w:val="auto"/>
          <w:kern w:val="10"/>
          <w:sz w:val="32"/>
          <w:szCs w:val="32"/>
        </w:rPr>
        <w:t>030</w:t>
      </w:r>
      <w:r>
        <w:rPr>
          <w:rFonts w:hint="eastAsia" w:ascii="Times New Roman" w:hAnsi="Times New Roman" w:eastAsia="仿宋_GB2312" w:cs="Times New Roman"/>
          <w:snapToGrid w:val="0"/>
          <w:color w:val="auto"/>
          <w:kern w:val="10"/>
          <w:sz w:val="32"/>
          <w:szCs w:val="32"/>
        </w:rPr>
        <w:t>前开工</w:t>
      </w:r>
      <w:r>
        <w:rPr>
          <w:rFonts w:ascii="Times New Roman" w:hAnsi="Times New Roman" w:eastAsia="仿宋_GB2312" w:cs="Times New Roman"/>
          <w:snapToGrid w:val="0"/>
          <w:color w:val="auto"/>
          <w:kern w:val="10"/>
          <w:sz w:val="32"/>
          <w:szCs w:val="32"/>
        </w:rPr>
        <w:t>建设的项目应</w:t>
      </w:r>
      <w:r>
        <w:rPr>
          <w:rFonts w:hint="eastAsia" w:ascii="Times New Roman" w:hAnsi="Times New Roman" w:eastAsia="仿宋_GB2312" w:cs="Times New Roman"/>
          <w:snapToGrid w:val="0"/>
          <w:color w:val="auto"/>
          <w:kern w:val="10"/>
          <w:sz w:val="32"/>
          <w:szCs w:val="32"/>
        </w:rPr>
        <w:t>根据</w:t>
      </w:r>
      <w:r>
        <w:rPr>
          <w:rFonts w:ascii="Times New Roman" w:hAnsi="Times New Roman" w:eastAsia="仿宋_GB2312" w:cs="Times New Roman"/>
          <w:snapToGrid w:val="0"/>
          <w:color w:val="auto"/>
          <w:kern w:val="10"/>
          <w:sz w:val="32"/>
          <w:szCs w:val="32"/>
        </w:rPr>
        <w:t>《规划》</w:t>
      </w:r>
      <w:r>
        <w:rPr>
          <w:rFonts w:hint="eastAsia" w:ascii="Times New Roman" w:hAnsi="Times New Roman" w:eastAsia="仿宋_GB2312" w:cs="Times New Roman"/>
          <w:snapToGrid w:val="0"/>
          <w:color w:val="auto"/>
          <w:kern w:val="10"/>
          <w:sz w:val="32"/>
          <w:szCs w:val="32"/>
        </w:rPr>
        <w:t>提出</w:t>
      </w:r>
      <w:r>
        <w:rPr>
          <w:rFonts w:ascii="Times New Roman" w:hAnsi="Times New Roman" w:eastAsia="仿宋_GB2312" w:cs="Times New Roman"/>
          <w:snapToGrid w:val="0"/>
          <w:color w:val="auto"/>
          <w:kern w:val="10"/>
          <w:sz w:val="32"/>
          <w:szCs w:val="32"/>
        </w:rPr>
        <w:t>的</w:t>
      </w:r>
      <w:r>
        <w:rPr>
          <w:rFonts w:hint="eastAsia" w:ascii="Times New Roman" w:hAnsi="Times New Roman" w:eastAsia="仿宋_GB2312" w:cs="Times New Roman"/>
          <w:snapToGrid w:val="0"/>
          <w:color w:val="auto"/>
          <w:kern w:val="10"/>
          <w:sz w:val="32"/>
          <w:szCs w:val="32"/>
        </w:rPr>
        <w:t>选址、</w:t>
      </w:r>
      <w:r>
        <w:rPr>
          <w:rFonts w:ascii="Times New Roman" w:hAnsi="Times New Roman" w:eastAsia="仿宋_GB2312" w:cs="Times New Roman"/>
          <w:snapToGrid w:val="0"/>
          <w:color w:val="auto"/>
          <w:kern w:val="10"/>
          <w:sz w:val="32"/>
          <w:szCs w:val="32"/>
        </w:rPr>
        <w:t>工艺技术、排放等要求，</w:t>
      </w:r>
      <w:r>
        <w:rPr>
          <w:rFonts w:hint="eastAsia" w:ascii="Times New Roman" w:hAnsi="Times New Roman" w:eastAsia="仿宋_GB2312" w:cs="Times New Roman"/>
          <w:snapToGrid w:val="0"/>
          <w:color w:val="auto"/>
          <w:kern w:val="10"/>
          <w:sz w:val="32"/>
          <w:szCs w:val="32"/>
        </w:rPr>
        <w:t>并</w:t>
      </w:r>
      <w:r>
        <w:rPr>
          <w:rFonts w:ascii="Times New Roman" w:hAnsi="Times New Roman" w:eastAsia="仿宋_GB2312" w:cs="Times New Roman"/>
          <w:snapToGrid w:val="0"/>
          <w:color w:val="auto"/>
          <w:kern w:val="10"/>
          <w:sz w:val="32"/>
          <w:szCs w:val="32"/>
        </w:rPr>
        <w:t>结合</w:t>
      </w:r>
      <w:r>
        <w:rPr>
          <w:rFonts w:hint="eastAsia" w:ascii="Times New Roman" w:hAnsi="Times New Roman" w:eastAsia="仿宋_GB2312" w:cs="Times New Roman"/>
          <w:snapToGrid w:val="0"/>
          <w:color w:val="auto"/>
          <w:kern w:val="10"/>
          <w:sz w:val="32"/>
          <w:szCs w:val="32"/>
        </w:rPr>
        <w:t>当地</w:t>
      </w:r>
      <w:r>
        <w:rPr>
          <w:rFonts w:ascii="Times New Roman" w:hAnsi="Times New Roman" w:eastAsia="仿宋_GB2312" w:cs="Times New Roman"/>
          <w:snapToGrid w:val="0"/>
          <w:color w:val="auto"/>
          <w:kern w:val="10"/>
          <w:sz w:val="32"/>
          <w:szCs w:val="32"/>
        </w:rPr>
        <w:t>环境</w:t>
      </w:r>
      <w:r>
        <w:rPr>
          <w:rFonts w:hint="eastAsia" w:ascii="Times New Roman" w:hAnsi="Times New Roman" w:eastAsia="仿宋_GB2312" w:cs="Times New Roman"/>
          <w:snapToGrid w:val="0"/>
          <w:color w:val="auto"/>
          <w:kern w:val="10"/>
          <w:sz w:val="32"/>
          <w:szCs w:val="32"/>
        </w:rPr>
        <w:t>准入</w:t>
      </w:r>
      <w:r>
        <w:rPr>
          <w:rFonts w:ascii="Times New Roman" w:hAnsi="Times New Roman" w:eastAsia="仿宋_GB2312" w:cs="Times New Roman"/>
          <w:snapToGrid w:val="0"/>
          <w:color w:val="auto"/>
          <w:kern w:val="10"/>
          <w:sz w:val="32"/>
          <w:szCs w:val="32"/>
        </w:rPr>
        <w:t>要求，落实各项预防和减轻不良环境影响的措施后</w:t>
      </w:r>
      <w:r>
        <w:rPr>
          <w:rFonts w:hint="eastAsia" w:ascii="Times New Roman" w:hAnsi="Times New Roman" w:eastAsia="仿宋_GB2312" w:cs="Times New Roman"/>
          <w:snapToGrid w:val="0"/>
          <w:color w:val="auto"/>
          <w:kern w:val="10"/>
          <w:sz w:val="32"/>
          <w:szCs w:val="32"/>
        </w:rPr>
        <w:t>开工</w:t>
      </w:r>
      <w:r>
        <w:rPr>
          <w:rFonts w:ascii="Times New Roman" w:hAnsi="Times New Roman" w:eastAsia="仿宋_GB2312" w:cs="Times New Roman"/>
          <w:snapToGrid w:val="0"/>
          <w:color w:val="auto"/>
          <w:kern w:val="10"/>
          <w:sz w:val="32"/>
          <w:szCs w:val="32"/>
        </w:rPr>
        <w:t>建设</w:t>
      </w:r>
      <w:r>
        <w:rPr>
          <w:rFonts w:hint="eastAsia" w:ascii="Times New Roman" w:hAnsi="Times New Roman" w:eastAsia="仿宋_GB2312" w:cs="Times New Roman"/>
          <w:snapToGrid w:val="0"/>
          <w:color w:val="auto"/>
          <w:kern w:val="10"/>
          <w:sz w:val="32"/>
          <w:szCs w:val="32"/>
        </w:rPr>
        <w:t>。</w:t>
      </w:r>
      <w:r>
        <w:rPr>
          <w:rFonts w:hint="eastAsia" w:ascii="Times New Roman" w:hAnsi="Times New Roman" w:eastAsia="仿宋_GB2312" w:cs="Times New Roman"/>
          <w:snapToGrid w:val="0"/>
          <w:color w:val="auto"/>
          <w:kern w:val="10"/>
          <w:sz w:val="32"/>
          <w:szCs w:val="32"/>
          <w:lang w:eastAsia="zh-CN"/>
        </w:rPr>
        <w:t>本</w:t>
      </w:r>
      <w:r>
        <w:rPr>
          <w:rFonts w:hint="eastAsia" w:ascii="Times New Roman" w:hAnsi="Times New Roman" w:eastAsia="仿宋_GB2312" w:cs="Times New Roman"/>
          <w:snapToGrid w:val="0"/>
          <w:color w:val="auto"/>
          <w:kern w:val="10"/>
          <w:sz w:val="32"/>
          <w:szCs w:val="32"/>
        </w:rPr>
        <w:t>规划</w:t>
      </w:r>
      <w:r>
        <w:rPr>
          <w:rFonts w:hint="eastAsia" w:ascii="Times New Roman" w:hAnsi="Times New Roman" w:eastAsia="仿宋_GB2312" w:cs="Times New Roman"/>
          <w:snapToGrid w:val="0"/>
          <w:color w:val="auto"/>
          <w:kern w:val="10"/>
          <w:sz w:val="32"/>
          <w:szCs w:val="32"/>
          <w:lang w:eastAsia="zh-CN"/>
        </w:rPr>
        <w:t>环境影响实施总体可行</w:t>
      </w:r>
      <w:r>
        <w:rPr>
          <w:rFonts w:ascii="Times New Roman" w:hAnsi="Times New Roman" w:eastAsia="仿宋_GB2312" w:cs="Times New Roman"/>
          <w:snapToGrid w:val="0"/>
          <w:color w:val="auto"/>
          <w:kern w:val="10"/>
          <w:sz w:val="32"/>
          <w:szCs w:val="32"/>
        </w:rPr>
        <w:t>。</w:t>
      </w:r>
    </w:p>
    <w:p>
      <w:pPr>
        <w:pStyle w:val="2"/>
        <w:spacing w:before="0" w:after="0" w:line="580" w:lineRule="exact"/>
        <w:ind w:left="643"/>
        <w:rPr>
          <w:rFonts w:eastAsia="黑体"/>
          <w:b w:val="0"/>
          <w:bCs/>
          <w:color w:val="auto"/>
          <w:sz w:val="32"/>
          <w:szCs w:val="32"/>
        </w:rPr>
      </w:pPr>
      <w:bookmarkStart w:id="39" w:name="_Toc1569722"/>
      <w:r>
        <w:rPr>
          <w:rFonts w:eastAsia="黑体"/>
          <w:b w:val="0"/>
          <w:bCs/>
          <w:color w:val="auto"/>
          <w:sz w:val="32"/>
          <w:szCs w:val="32"/>
        </w:rPr>
        <w:t>六、保障措施</w:t>
      </w:r>
      <w:bookmarkEnd w:id="29"/>
      <w:bookmarkEnd w:id="39"/>
    </w:p>
    <w:p>
      <w:pPr>
        <w:pStyle w:val="3"/>
        <w:spacing w:before="0" w:after="0" w:line="580" w:lineRule="exact"/>
        <w:ind w:firstLine="480" w:firstLineChars="150"/>
        <w:rPr>
          <w:rFonts w:ascii="Times New Roman" w:hAnsi="Times New Roman" w:eastAsia="楷体_GB2312"/>
          <w:color w:val="auto"/>
          <w:szCs w:val="32"/>
        </w:rPr>
      </w:pPr>
      <w:bookmarkStart w:id="40" w:name="_Toc343262152"/>
      <w:bookmarkStart w:id="41" w:name="_Toc1569723"/>
      <w:r>
        <w:rPr>
          <w:rFonts w:ascii="Times New Roman" w:hAnsi="Times New Roman" w:eastAsia="楷体_GB2312"/>
          <w:color w:val="auto"/>
          <w:szCs w:val="32"/>
        </w:rPr>
        <w:t>（一）</w:t>
      </w:r>
      <w:bookmarkEnd w:id="40"/>
      <w:r>
        <w:rPr>
          <w:rFonts w:ascii="Times New Roman" w:hAnsi="Times New Roman" w:eastAsia="楷体_GB2312"/>
          <w:color w:val="auto"/>
          <w:szCs w:val="32"/>
        </w:rPr>
        <w:t>健全管理制度</w:t>
      </w:r>
      <w:bookmarkEnd w:id="41"/>
    </w:p>
    <w:p>
      <w:pPr>
        <w:pStyle w:val="33"/>
        <w:shd w:val="clear" w:color="auto" w:fill="FFFFFF"/>
        <w:spacing w:before="0" w:beforeAutospacing="0" w:after="0" w:afterAutospacing="0" w:line="580" w:lineRule="exact"/>
        <w:ind w:firstLine="600"/>
        <w:rPr>
          <w:rFonts w:ascii="Times New Roman" w:hAnsi="Times New Roman" w:eastAsia="仿宋_GB2312" w:cs="Times New Roman"/>
          <w:snapToGrid w:val="0"/>
          <w:color w:val="auto"/>
          <w:kern w:val="10"/>
          <w:sz w:val="32"/>
          <w:szCs w:val="32"/>
        </w:rPr>
      </w:pPr>
      <w:bookmarkStart w:id="42" w:name="_Toc343262153"/>
      <w:r>
        <w:rPr>
          <w:rFonts w:ascii="Times New Roman" w:hAnsi="Times New Roman" w:eastAsia="仿宋_GB2312" w:cs="Times New Roman"/>
          <w:snapToGrid w:val="0"/>
          <w:color w:val="auto"/>
          <w:kern w:val="10"/>
          <w:sz w:val="32"/>
          <w:szCs w:val="32"/>
        </w:rPr>
        <w:t>建立健全有利于生活垃圾焚烧发电设施建设运营的工作机制。统筹安排设施建设的规模、布局、选址和用地，</w:t>
      </w:r>
      <w:r>
        <w:rPr>
          <w:rFonts w:hint="eastAsia" w:ascii="Times New Roman" w:hAnsi="Times New Roman" w:eastAsia="仿宋_GB2312" w:cs="Times New Roman"/>
          <w:snapToGrid w:val="0"/>
          <w:color w:val="auto"/>
          <w:kern w:val="10"/>
          <w:sz w:val="32"/>
          <w:szCs w:val="32"/>
        </w:rPr>
        <w:t>将设施选址纳入国土空间规划，做好与近期建设规划的衔接</w:t>
      </w:r>
      <w:r>
        <w:rPr>
          <w:rFonts w:ascii="Times New Roman" w:hAnsi="Times New Roman" w:eastAsia="仿宋_GB2312" w:cs="Times New Roman"/>
          <w:snapToGrid w:val="0"/>
          <w:color w:val="auto"/>
          <w:kern w:val="10"/>
          <w:sz w:val="32"/>
          <w:szCs w:val="32"/>
        </w:rPr>
        <w:t>。加强生活垃圾全过程管理，研究提出垃圾焚烧发电项目风险防控指南，做好防范和化解社会风险工作，落实工程建设项目法人责任制、合同制、招投标制、监理制等有关规定。</w:t>
      </w:r>
      <w:r>
        <w:rPr>
          <w:rFonts w:ascii="Times New Roman" w:hAnsi="Times New Roman" w:eastAsia="仿宋_GB2312" w:cs="Times New Roman"/>
          <w:color w:val="auto"/>
          <w:sz w:val="32"/>
          <w:szCs w:val="32"/>
        </w:rPr>
        <w:t>规范和完善前端收集点（站）布局和建设</w:t>
      </w:r>
      <w:r>
        <w:rPr>
          <w:rFonts w:ascii="Times New Roman" w:hAnsi="Times New Roman" w:eastAsia="仿宋_GB2312" w:cs="Times New Roman"/>
          <w:snapToGrid w:val="0"/>
          <w:color w:val="auto"/>
          <w:kern w:val="10"/>
          <w:sz w:val="32"/>
          <w:szCs w:val="32"/>
        </w:rPr>
        <w:t>标准。完善生活垃圾分类收集制度，促进生活垃圾焚烧发电设施建设和运营的良性循环。</w:t>
      </w:r>
    </w:p>
    <w:p>
      <w:pPr>
        <w:pStyle w:val="3"/>
        <w:spacing w:before="0" w:after="0" w:line="580" w:lineRule="exact"/>
        <w:ind w:firstLine="480" w:firstLineChars="150"/>
        <w:rPr>
          <w:rFonts w:ascii="Times New Roman" w:hAnsi="Times New Roman" w:eastAsia="楷体_GB2312"/>
          <w:color w:val="auto"/>
          <w:szCs w:val="32"/>
        </w:rPr>
      </w:pPr>
      <w:bookmarkStart w:id="43" w:name="_Toc1569724"/>
      <w:r>
        <w:rPr>
          <w:rFonts w:ascii="Times New Roman" w:hAnsi="Times New Roman" w:eastAsia="楷体_GB2312"/>
          <w:color w:val="auto"/>
          <w:szCs w:val="32"/>
        </w:rPr>
        <w:t>（二）</w:t>
      </w:r>
      <w:bookmarkEnd w:id="42"/>
      <w:r>
        <w:rPr>
          <w:rFonts w:ascii="Times New Roman" w:hAnsi="Times New Roman" w:eastAsia="楷体_GB2312"/>
          <w:color w:val="auto"/>
          <w:szCs w:val="32"/>
        </w:rPr>
        <w:t>强化政策支撑</w:t>
      </w:r>
      <w:bookmarkEnd w:id="43"/>
    </w:p>
    <w:p>
      <w:pPr>
        <w:pStyle w:val="9"/>
        <w:spacing w:line="580" w:lineRule="exact"/>
        <w:ind w:firstLine="640"/>
        <w:rPr>
          <w:color w:val="auto"/>
          <w:kern w:val="0"/>
          <w:sz w:val="32"/>
          <w:szCs w:val="32"/>
        </w:rPr>
      </w:pPr>
      <w:bookmarkStart w:id="44" w:name="_Toc343262156"/>
      <w:r>
        <w:rPr>
          <w:color w:val="auto"/>
          <w:kern w:val="0"/>
          <w:sz w:val="32"/>
          <w:szCs w:val="32"/>
        </w:rPr>
        <w:t>落实生活垃圾焚烧发电税收优惠政策，制定城镇生活垃圾收集和减量激励政策，不断完善生活垃圾焚烧发电的价格政策。</w:t>
      </w:r>
      <w:r>
        <w:rPr>
          <w:color w:val="auto"/>
          <w:sz w:val="32"/>
          <w:szCs w:val="32"/>
        </w:rPr>
        <w:t>建立完善垃圾处理收费制度，</w:t>
      </w:r>
      <w:r>
        <w:rPr>
          <w:color w:val="auto"/>
          <w:kern w:val="0"/>
          <w:sz w:val="32"/>
          <w:szCs w:val="32"/>
        </w:rPr>
        <w:t>探索改进生活垃圾</w:t>
      </w:r>
      <w:r>
        <w:rPr>
          <w:rFonts w:hint="eastAsia"/>
          <w:color w:val="auto"/>
          <w:kern w:val="0"/>
          <w:sz w:val="32"/>
          <w:szCs w:val="32"/>
          <w:lang w:eastAsia="zh-CN"/>
        </w:rPr>
        <w:t>处理</w:t>
      </w:r>
      <w:r>
        <w:rPr>
          <w:color w:val="auto"/>
          <w:kern w:val="0"/>
          <w:sz w:val="32"/>
          <w:szCs w:val="32"/>
        </w:rPr>
        <w:t>收费方式，降低收费成本、提高收缴率，加强生活垃圾焚烧设施运行的经费保障。加快生活垃圾焚烧发电产业化发展、社会化运作，建立多元化投入机制。对于纳入规划的项目，优先向政府和社会资本合作信息平台项目库推荐。</w:t>
      </w:r>
    </w:p>
    <w:p>
      <w:pPr>
        <w:pStyle w:val="3"/>
        <w:spacing w:before="0" w:after="0" w:line="580" w:lineRule="exact"/>
        <w:ind w:firstLine="480" w:firstLineChars="150"/>
        <w:rPr>
          <w:rFonts w:ascii="Times New Roman" w:hAnsi="Times New Roman" w:eastAsia="楷体_GB2312"/>
          <w:color w:val="auto"/>
          <w:szCs w:val="32"/>
        </w:rPr>
      </w:pPr>
      <w:bookmarkStart w:id="45" w:name="_Toc1569725"/>
      <w:r>
        <w:rPr>
          <w:rFonts w:ascii="Times New Roman" w:hAnsi="Times New Roman" w:eastAsia="楷体_GB2312"/>
          <w:color w:val="auto"/>
          <w:szCs w:val="32"/>
        </w:rPr>
        <w:t>（三）</w:t>
      </w:r>
      <w:bookmarkEnd w:id="44"/>
      <w:r>
        <w:rPr>
          <w:rFonts w:ascii="Times New Roman" w:hAnsi="Times New Roman" w:eastAsia="楷体_GB2312"/>
          <w:color w:val="auto"/>
          <w:szCs w:val="32"/>
        </w:rPr>
        <w:t>深化宣传引导</w:t>
      </w:r>
      <w:bookmarkEnd w:id="45"/>
    </w:p>
    <w:p>
      <w:pPr>
        <w:pStyle w:val="9"/>
        <w:spacing w:line="580" w:lineRule="exact"/>
        <w:ind w:firstLine="640"/>
        <w:rPr>
          <w:color w:val="auto"/>
          <w:kern w:val="0"/>
          <w:sz w:val="32"/>
          <w:szCs w:val="32"/>
        </w:rPr>
      </w:pPr>
      <w:r>
        <w:rPr>
          <w:color w:val="auto"/>
          <w:kern w:val="0"/>
          <w:sz w:val="32"/>
          <w:szCs w:val="32"/>
        </w:rPr>
        <w:t>充分利用电视、广播、报刊、互联网</w:t>
      </w:r>
      <w:r>
        <w:rPr>
          <w:rFonts w:hint="eastAsia"/>
          <w:color w:val="auto"/>
          <w:kern w:val="0"/>
          <w:sz w:val="32"/>
          <w:szCs w:val="32"/>
          <w:lang w:eastAsia="zh-CN"/>
        </w:rPr>
        <w:t>、微博微信</w:t>
      </w:r>
      <w:r>
        <w:rPr>
          <w:color w:val="auto"/>
          <w:kern w:val="0"/>
          <w:sz w:val="32"/>
          <w:szCs w:val="32"/>
        </w:rPr>
        <w:t>等多种手段和形式，加强生活垃圾焚烧发电的正面宣传和舆论引导，普及有关生活垃圾分类、收转运和处理的知识，消除公众对污染的担忧。开展多种形式的主题宣传活动，倡导绿色健康生活方式，引导全民树立“垃圾处理、人人有责”的观念。开展群众性的生活垃圾焚烧发电合理化建议、</w:t>
      </w:r>
      <w:r>
        <w:rPr>
          <w:rFonts w:hint="eastAsia"/>
          <w:color w:val="auto"/>
          <w:kern w:val="0"/>
          <w:sz w:val="32"/>
          <w:szCs w:val="32"/>
          <w:lang w:eastAsia="zh-CN"/>
        </w:rPr>
        <w:t>设施对外开放、</w:t>
      </w:r>
      <w:r>
        <w:rPr>
          <w:color w:val="auto"/>
          <w:kern w:val="0"/>
          <w:sz w:val="32"/>
          <w:szCs w:val="32"/>
        </w:rPr>
        <w:t>技术革新等活动，加强公众监督，推动形成有利于促进生活垃圾焚烧发电设施建设与运营健康发展的良好氛围。</w:t>
      </w:r>
    </w:p>
    <w:p>
      <w:pPr>
        <w:pStyle w:val="3"/>
        <w:spacing w:before="0" w:after="0" w:line="580" w:lineRule="exact"/>
        <w:ind w:firstLine="600"/>
        <w:rPr>
          <w:rFonts w:ascii="Times New Roman" w:hAnsi="Times New Roman" w:eastAsia="楷体_GB2312"/>
          <w:color w:val="auto"/>
          <w:szCs w:val="32"/>
        </w:rPr>
      </w:pPr>
      <w:bookmarkStart w:id="46" w:name="_Toc5415"/>
      <w:bookmarkStart w:id="47" w:name="_Toc1569726"/>
      <w:r>
        <w:rPr>
          <w:rFonts w:ascii="Times New Roman" w:hAnsi="Times New Roman" w:eastAsia="楷体_GB2312"/>
          <w:color w:val="auto"/>
          <w:szCs w:val="32"/>
        </w:rPr>
        <w:t>（四）强化监督管理</w:t>
      </w:r>
      <w:bookmarkEnd w:id="46"/>
      <w:bookmarkEnd w:id="47"/>
    </w:p>
    <w:p>
      <w:pPr>
        <w:pStyle w:val="9"/>
        <w:spacing w:line="580" w:lineRule="exact"/>
        <w:ind w:firstLine="640"/>
        <w:rPr>
          <w:rFonts w:eastAsia="黑体"/>
          <w:color w:val="auto"/>
          <w:sz w:val="32"/>
          <w:szCs w:val="32"/>
        </w:rPr>
      </w:pPr>
      <w:r>
        <w:rPr>
          <w:color w:val="auto"/>
          <w:kern w:val="0"/>
          <w:sz w:val="32"/>
          <w:szCs w:val="32"/>
        </w:rPr>
        <w:t>落实各级党政领导干部生态环境损害责任追究办法，提高地方政府领导责任意识，强化垃圾处理设施环保执法监管</w:t>
      </w:r>
      <w:r>
        <w:rPr>
          <w:rFonts w:hint="eastAsia"/>
          <w:color w:val="auto"/>
          <w:kern w:val="0"/>
          <w:sz w:val="32"/>
          <w:szCs w:val="32"/>
          <w:lang w:eastAsia="zh-CN"/>
        </w:rPr>
        <w:t>。</w:t>
      </w:r>
      <w:r>
        <w:rPr>
          <w:color w:val="auto"/>
          <w:kern w:val="0"/>
          <w:sz w:val="32"/>
          <w:szCs w:val="32"/>
        </w:rPr>
        <w:t>建立随机抽查工作机制，对故意编造、篡改排污数据的违法企业，依法加大处罚力度</w:t>
      </w:r>
      <w:r>
        <w:rPr>
          <w:rFonts w:hint="eastAsia"/>
          <w:color w:val="auto"/>
          <w:kern w:val="0"/>
          <w:sz w:val="32"/>
          <w:szCs w:val="32"/>
          <w:lang w:eastAsia="zh-CN"/>
        </w:rPr>
        <w:t>；</w:t>
      </w:r>
      <w:r>
        <w:rPr>
          <w:color w:val="auto"/>
          <w:kern w:val="0"/>
          <w:sz w:val="32"/>
          <w:szCs w:val="32"/>
        </w:rPr>
        <w:t>对垃圾渗滤液、焚烧烟气等监测不达标的项目，及时关停整顿。加强公众监督，完善公众参与和政府决策机制，</w:t>
      </w:r>
      <w:r>
        <w:rPr>
          <w:rFonts w:hint="eastAsia"/>
          <w:color w:val="auto"/>
          <w:kern w:val="0"/>
          <w:sz w:val="32"/>
          <w:szCs w:val="32"/>
          <w:lang w:eastAsia="zh-CN"/>
        </w:rPr>
        <w:t>畅通</w:t>
      </w:r>
      <w:r>
        <w:rPr>
          <w:color w:val="auto"/>
          <w:kern w:val="0"/>
          <w:sz w:val="32"/>
          <w:szCs w:val="32"/>
        </w:rPr>
        <w:t>居民诉求表达、受理调查和解决回复等</w:t>
      </w:r>
      <w:r>
        <w:rPr>
          <w:rFonts w:hint="eastAsia"/>
          <w:color w:val="auto"/>
          <w:kern w:val="0"/>
          <w:sz w:val="32"/>
          <w:szCs w:val="32"/>
          <w:lang w:eastAsia="zh-CN"/>
        </w:rPr>
        <w:t>渠道</w:t>
      </w:r>
      <w:r>
        <w:rPr>
          <w:color w:val="auto"/>
          <w:kern w:val="0"/>
          <w:sz w:val="32"/>
          <w:szCs w:val="32"/>
        </w:rPr>
        <w:t>。</w:t>
      </w:r>
    </w:p>
    <w:p>
      <w:pPr>
        <w:pStyle w:val="2"/>
        <w:spacing w:before="0" w:after="0" w:line="580" w:lineRule="exact"/>
        <w:ind w:left="643"/>
        <w:rPr>
          <w:rFonts w:eastAsia="黑体"/>
          <w:b w:val="0"/>
          <w:bCs/>
          <w:color w:val="auto"/>
          <w:sz w:val="32"/>
          <w:szCs w:val="32"/>
        </w:rPr>
      </w:pPr>
      <w:bookmarkStart w:id="48" w:name="_Toc1569727"/>
      <w:r>
        <w:rPr>
          <w:rFonts w:eastAsia="黑体"/>
          <w:b w:val="0"/>
          <w:bCs/>
          <w:color w:val="auto"/>
          <w:sz w:val="32"/>
          <w:szCs w:val="32"/>
        </w:rPr>
        <w:t>七、规划实施</w:t>
      </w:r>
      <w:bookmarkEnd w:id="48"/>
    </w:p>
    <w:p>
      <w:pPr>
        <w:pStyle w:val="9"/>
        <w:spacing w:line="580" w:lineRule="exact"/>
        <w:ind w:firstLine="640"/>
        <w:rPr>
          <w:rFonts w:hint="eastAsia"/>
          <w:color w:val="auto"/>
          <w:kern w:val="0"/>
          <w:sz w:val="32"/>
          <w:szCs w:val="32"/>
        </w:rPr>
      </w:pPr>
      <w:r>
        <w:rPr>
          <w:color w:val="auto"/>
          <w:kern w:val="0"/>
          <w:sz w:val="32"/>
          <w:szCs w:val="32"/>
        </w:rPr>
        <w:t>省级相关部门要按照职能分工，加快制定完善促进生活垃圾焚烧发电设施建设和运营的相关政策措施，改进规范项目核准行为，简化审核内容、优化流程、缩短时限、提高效率，加强协调配合，形成工作合力，确保规划顺利实施。省发展改革委要</w:t>
      </w:r>
      <w:r>
        <w:rPr>
          <w:rFonts w:hint="eastAsia"/>
          <w:color w:val="auto"/>
          <w:kern w:val="0"/>
          <w:sz w:val="32"/>
          <w:szCs w:val="32"/>
        </w:rPr>
        <w:t>指导各市</w:t>
      </w:r>
      <w:r>
        <w:rPr>
          <w:rFonts w:hint="eastAsia"/>
          <w:color w:val="auto"/>
          <w:kern w:val="0"/>
          <w:sz w:val="32"/>
          <w:szCs w:val="32"/>
          <w:lang w:eastAsia="zh-CN"/>
        </w:rPr>
        <w:t>（</w:t>
      </w:r>
      <w:r>
        <w:rPr>
          <w:rFonts w:hint="eastAsia"/>
          <w:color w:val="auto"/>
          <w:kern w:val="0"/>
          <w:sz w:val="32"/>
          <w:szCs w:val="32"/>
        </w:rPr>
        <w:t>州</w:t>
      </w:r>
      <w:r>
        <w:rPr>
          <w:rFonts w:hint="eastAsia"/>
          <w:color w:val="auto"/>
          <w:kern w:val="0"/>
          <w:sz w:val="32"/>
          <w:szCs w:val="32"/>
          <w:lang w:eastAsia="zh-CN"/>
        </w:rPr>
        <w:t>）</w:t>
      </w:r>
      <w:r>
        <w:rPr>
          <w:rFonts w:hint="eastAsia"/>
          <w:color w:val="auto"/>
          <w:kern w:val="0"/>
          <w:sz w:val="32"/>
          <w:szCs w:val="32"/>
        </w:rPr>
        <w:t>开展</w:t>
      </w:r>
      <w:r>
        <w:rPr>
          <w:color w:val="auto"/>
          <w:kern w:val="0"/>
          <w:sz w:val="32"/>
          <w:szCs w:val="32"/>
        </w:rPr>
        <w:t>生活垃圾焚烧发电项目核准，贯彻落实国家优惠电价政策，制</w:t>
      </w:r>
      <w:r>
        <w:rPr>
          <w:rFonts w:hint="eastAsia"/>
          <w:color w:val="auto"/>
          <w:kern w:val="0"/>
          <w:sz w:val="32"/>
          <w:szCs w:val="32"/>
          <w:lang w:eastAsia="zh-CN"/>
        </w:rPr>
        <w:t>定</w:t>
      </w:r>
      <w:r>
        <w:rPr>
          <w:color w:val="auto"/>
          <w:kern w:val="0"/>
          <w:sz w:val="32"/>
          <w:szCs w:val="32"/>
        </w:rPr>
        <w:t>我省促进生活垃圾焚烧发电项目实施的激励政策；</w:t>
      </w:r>
      <w:r>
        <w:rPr>
          <w:rFonts w:hint="eastAsia"/>
          <w:color w:val="auto"/>
          <w:kern w:val="0"/>
          <w:sz w:val="32"/>
          <w:szCs w:val="32"/>
        </w:rPr>
        <w:t>经济和信息化厅</w:t>
      </w:r>
      <w:r>
        <w:rPr>
          <w:rFonts w:hint="eastAsia"/>
          <w:color w:val="auto"/>
          <w:kern w:val="0"/>
          <w:sz w:val="32"/>
          <w:szCs w:val="32"/>
          <w:lang w:eastAsia="zh-CN"/>
        </w:rPr>
        <w:t>要</w:t>
      </w:r>
      <w:r>
        <w:rPr>
          <w:rFonts w:hint="eastAsia"/>
          <w:color w:val="auto"/>
          <w:kern w:val="0"/>
          <w:sz w:val="32"/>
          <w:szCs w:val="32"/>
        </w:rPr>
        <w:t>制定全省生活垃圾焚烧发电电力生产计划工作，</w:t>
      </w:r>
      <w:r>
        <w:rPr>
          <w:color w:val="auto"/>
          <w:kern w:val="0"/>
          <w:sz w:val="32"/>
          <w:szCs w:val="32"/>
        </w:rPr>
        <w:t>协调发电企业和电网企业的关系；</w:t>
      </w:r>
      <w:r>
        <w:rPr>
          <w:rFonts w:hint="eastAsia"/>
          <w:color w:val="auto"/>
          <w:kern w:val="0"/>
          <w:sz w:val="32"/>
          <w:szCs w:val="32"/>
        </w:rPr>
        <w:t>住房城乡建设厅要加强生活垃圾焚烧发电项目建设和运营监管</w:t>
      </w:r>
      <w:r>
        <w:rPr>
          <w:color w:val="auto"/>
          <w:kern w:val="0"/>
          <w:sz w:val="32"/>
          <w:szCs w:val="32"/>
        </w:rPr>
        <w:t>；</w:t>
      </w:r>
      <w:r>
        <w:rPr>
          <w:rFonts w:hint="eastAsia"/>
          <w:color w:val="auto"/>
          <w:kern w:val="0"/>
          <w:sz w:val="32"/>
          <w:szCs w:val="32"/>
        </w:rPr>
        <w:t>生态环境厅</w:t>
      </w:r>
      <w:r>
        <w:rPr>
          <w:color w:val="auto"/>
          <w:kern w:val="0"/>
          <w:sz w:val="32"/>
          <w:szCs w:val="32"/>
        </w:rPr>
        <w:t>要严格生活垃圾焚烧发电项目环境影响评价和加强项目污染物排放监管，积极做好环境影响评价文件审批服务；</w:t>
      </w:r>
      <w:r>
        <w:rPr>
          <w:rFonts w:hint="eastAsia"/>
          <w:color w:val="auto"/>
          <w:kern w:val="0"/>
          <w:sz w:val="32"/>
          <w:szCs w:val="32"/>
        </w:rPr>
        <w:t>自然资源厅要指导各市</w:t>
      </w:r>
      <w:r>
        <w:rPr>
          <w:rFonts w:hint="eastAsia"/>
          <w:color w:val="auto"/>
          <w:kern w:val="0"/>
          <w:sz w:val="32"/>
          <w:szCs w:val="32"/>
          <w:lang w:eastAsia="zh-CN"/>
        </w:rPr>
        <w:t>（</w:t>
      </w:r>
      <w:r>
        <w:rPr>
          <w:rFonts w:hint="eastAsia"/>
          <w:color w:val="auto"/>
          <w:kern w:val="0"/>
          <w:sz w:val="32"/>
          <w:szCs w:val="32"/>
        </w:rPr>
        <w:t>州</w:t>
      </w:r>
      <w:r>
        <w:rPr>
          <w:rFonts w:hint="eastAsia"/>
          <w:color w:val="auto"/>
          <w:kern w:val="0"/>
          <w:sz w:val="32"/>
          <w:szCs w:val="32"/>
          <w:lang w:eastAsia="zh-CN"/>
        </w:rPr>
        <w:t>）</w:t>
      </w:r>
      <w:r>
        <w:rPr>
          <w:rFonts w:hint="eastAsia"/>
          <w:color w:val="auto"/>
          <w:kern w:val="0"/>
          <w:sz w:val="32"/>
          <w:szCs w:val="32"/>
        </w:rPr>
        <w:t>及时核发建设项目选址意见书，做好用地保障工作</w:t>
      </w:r>
      <w:r>
        <w:rPr>
          <w:color w:val="auto"/>
          <w:kern w:val="0"/>
          <w:sz w:val="32"/>
          <w:szCs w:val="32"/>
        </w:rPr>
        <w:t>；四川</w:t>
      </w:r>
      <w:r>
        <w:rPr>
          <w:rFonts w:hint="eastAsia"/>
          <w:color w:val="auto"/>
          <w:kern w:val="0"/>
          <w:sz w:val="32"/>
          <w:szCs w:val="32"/>
        </w:rPr>
        <w:t>能源监管</w:t>
      </w:r>
      <w:r>
        <w:rPr>
          <w:color w:val="auto"/>
          <w:kern w:val="0"/>
          <w:sz w:val="32"/>
          <w:szCs w:val="32"/>
        </w:rPr>
        <w:t>办</w:t>
      </w:r>
      <w:r>
        <w:rPr>
          <w:rFonts w:hint="eastAsia"/>
          <w:color w:val="auto"/>
          <w:kern w:val="0"/>
          <w:sz w:val="32"/>
          <w:szCs w:val="32"/>
          <w:lang w:eastAsia="zh-CN"/>
        </w:rPr>
        <w:t>要</w:t>
      </w:r>
      <w:r>
        <w:rPr>
          <w:rFonts w:hint="eastAsia"/>
          <w:color w:val="auto"/>
          <w:kern w:val="0"/>
          <w:sz w:val="32"/>
          <w:szCs w:val="32"/>
        </w:rPr>
        <w:t>对垃圾焚烧发电项目发电上网和结算进行监管；</w:t>
      </w:r>
      <w:r>
        <w:rPr>
          <w:rFonts w:hint="eastAsia"/>
          <w:color w:val="auto"/>
          <w:kern w:val="0"/>
          <w:sz w:val="32"/>
          <w:szCs w:val="32"/>
          <w:lang w:eastAsia="zh-CN"/>
        </w:rPr>
        <w:t>国网四川</w:t>
      </w:r>
      <w:r>
        <w:rPr>
          <w:color w:val="auto"/>
          <w:kern w:val="0"/>
          <w:sz w:val="32"/>
          <w:szCs w:val="32"/>
        </w:rPr>
        <w:t>省电力公司要加强并网发电项目的接入系统建设与改造，确保生活垃圾焚烧发电全额上网</w:t>
      </w:r>
      <w:r>
        <w:rPr>
          <w:rFonts w:hint="eastAsia"/>
          <w:color w:val="auto"/>
          <w:kern w:val="0"/>
          <w:sz w:val="32"/>
          <w:szCs w:val="32"/>
        </w:rPr>
        <w:t>，开展电费及时结算</w:t>
      </w:r>
      <w:r>
        <w:rPr>
          <w:color w:val="auto"/>
          <w:kern w:val="0"/>
          <w:sz w:val="32"/>
          <w:szCs w:val="32"/>
        </w:rPr>
        <w:t>；</w:t>
      </w:r>
      <w:r>
        <w:rPr>
          <w:rFonts w:hint="eastAsia"/>
          <w:color w:val="auto"/>
          <w:kern w:val="0"/>
          <w:sz w:val="32"/>
          <w:szCs w:val="32"/>
          <w:lang w:eastAsia="zh-CN"/>
        </w:rPr>
        <w:t>其他</w:t>
      </w:r>
      <w:r>
        <w:rPr>
          <w:color w:val="auto"/>
          <w:kern w:val="0"/>
          <w:sz w:val="32"/>
          <w:szCs w:val="32"/>
        </w:rPr>
        <w:t>省级有关部门和单位按职能职责发挥监管作用。省发展改革委、</w:t>
      </w:r>
      <w:r>
        <w:rPr>
          <w:rFonts w:hint="eastAsia"/>
          <w:color w:val="auto"/>
          <w:kern w:val="0"/>
          <w:sz w:val="32"/>
          <w:szCs w:val="32"/>
          <w:lang w:eastAsia="zh-CN"/>
        </w:rPr>
        <w:t>经济和信息化</w:t>
      </w:r>
      <w:r>
        <w:rPr>
          <w:rFonts w:hint="eastAsia"/>
          <w:color w:val="auto"/>
          <w:kern w:val="0"/>
          <w:sz w:val="32"/>
          <w:szCs w:val="32"/>
        </w:rPr>
        <w:t>厅、</w:t>
      </w:r>
      <w:r>
        <w:rPr>
          <w:color w:val="auto"/>
          <w:kern w:val="0"/>
          <w:sz w:val="32"/>
          <w:szCs w:val="32"/>
        </w:rPr>
        <w:t>住房城乡建设厅、</w:t>
      </w:r>
      <w:r>
        <w:rPr>
          <w:rFonts w:hint="eastAsia"/>
          <w:color w:val="auto"/>
          <w:kern w:val="0"/>
          <w:sz w:val="32"/>
          <w:szCs w:val="32"/>
        </w:rPr>
        <w:t>自然</w:t>
      </w:r>
      <w:r>
        <w:rPr>
          <w:color w:val="auto"/>
          <w:kern w:val="0"/>
          <w:sz w:val="32"/>
          <w:szCs w:val="32"/>
        </w:rPr>
        <w:t>资源厅、</w:t>
      </w:r>
      <w:r>
        <w:rPr>
          <w:rFonts w:hint="eastAsia"/>
          <w:color w:val="auto"/>
          <w:kern w:val="0"/>
          <w:sz w:val="32"/>
          <w:szCs w:val="32"/>
        </w:rPr>
        <w:t>生态</w:t>
      </w:r>
      <w:r>
        <w:rPr>
          <w:color w:val="auto"/>
          <w:kern w:val="0"/>
          <w:sz w:val="32"/>
          <w:szCs w:val="32"/>
        </w:rPr>
        <w:t>环境厅、省能源局要加强对《规划》实施情况的监督评估，并向省人民政府报告。</w:t>
      </w:r>
    </w:p>
    <w:p>
      <w:pPr>
        <w:pStyle w:val="9"/>
        <w:spacing w:line="580" w:lineRule="exact"/>
        <w:ind w:firstLine="640"/>
        <w:rPr>
          <w:color w:val="auto"/>
          <w:kern w:val="0"/>
          <w:sz w:val="32"/>
          <w:szCs w:val="32"/>
        </w:rPr>
      </w:pPr>
      <w:r>
        <w:rPr>
          <w:color w:val="auto"/>
          <w:kern w:val="0"/>
          <w:sz w:val="32"/>
          <w:szCs w:val="32"/>
        </w:rPr>
        <w:t>市（州）人民政府负责生活垃圾焚烧发电设施建设的具体实施工作，</w:t>
      </w:r>
      <w:r>
        <w:rPr>
          <w:color w:val="auto"/>
          <w:sz w:val="32"/>
          <w:szCs w:val="32"/>
        </w:rPr>
        <w:t>要</w:t>
      </w:r>
      <w:r>
        <w:rPr>
          <w:color w:val="auto"/>
          <w:kern w:val="0"/>
          <w:sz w:val="32"/>
          <w:szCs w:val="32"/>
        </w:rPr>
        <w:t>加强组织领导，落实目标责任，</w:t>
      </w:r>
      <w:r>
        <w:rPr>
          <w:rFonts w:hint="eastAsia"/>
          <w:color w:val="auto"/>
          <w:kern w:val="0"/>
          <w:sz w:val="32"/>
          <w:szCs w:val="32"/>
          <w:lang w:eastAsia="zh-CN"/>
        </w:rPr>
        <w:t>完善</w:t>
      </w:r>
      <w:r>
        <w:rPr>
          <w:color w:val="auto"/>
          <w:kern w:val="0"/>
          <w:sz w:val="32"/>
          <w:szCs w:val="32"/>
        </w:rPr>
        <w:t>工作措施，</w:t>
      </w:r>
      <w:r>
        <w:rPr>
          <w:color w:val="auto"/>
          <w:sz w:val="32"/>
          <w:szCs w:val="32"/>
        </w:rPr>
        <w:t>加强对生活垃圾资源量充足、具备收集转运条件县</w:t>
      </w:r>
      <w:r>
        <w:rPr>
          <w:rFonts w:hint="eastAsia"/>
          <w:color w:val="auto"/>
          <w:sz w:val="32"/>
          <w:szCs w:val="32"/>
          <w:lang w:eastAsia="zh-CN"/>
        </w:rPr>
        <w:t>（市、</w:t>
      </w:r>
      <w:r>
        <w:rPr>
          <w:color w:val="auto"/>
          <w:sz w:val="32"/>
          <w:szCs w:val="32"/>
        </w:rPr>
        <w:t>区</w:t>
      </w:r>
      <w:r>
        <w:rPr>
          <w:rFonts w:hint="eastAsia"/>
          <w:color w:val="auto"/>
          <w:sz w:val="32"/>
          <w:szCs w:val="32"/>
          <w:lang w:eastAsia="zh-CN"/>
        </w:rPr>
        <w:t>）</w:t>
      </w:r>
      <w:r>
        <w:rPr>
          <w:color w:val="auto"/>
          <w:sz w:val="32"/>
          <w:szCs w:val="32"/>
        </w:rPr>
        <w:t>的统筹协调</w:t>
      </w:r>
      <w:r>
        <w:rPr>
          <w:rFonts w:hint="eastAsia"/>
          <w:color w:val="auto"/>
          <w:sz w:val="32"/>
          <w:szCs w:val="32"/>
          <w:lang w:eastAsia="zh-CN"/>
        </w:rPr>
        <w:t>，加快</w:t>
      </w:r>
      <w:r>
        <w:rPr>
          <w:color w:val="auto"/>
          <w:sz w:val="32"/>
          <w:szCs w:val="32"/>
        </w:rPr>
        <w:t>建设共享生活垃圾焚烧发电设施；</w:t>
      </w:r>
      <w:r>
        <w:rPr>
          <w:color w:val="auto"/>
          <w:kern w:val="0"/>
          <w:sz w:val="32"/>
          <w:szCs w:val="32"/>
        </w:rPr>
        <w:t>要加强项目督促管理，严格执行国家和</w:t>
      </w:r>
      <w:r>
        <w:rPr>
          <w:rFonts w:hint="eastAsia"/>
          <w:color w:val="auto"/>
          <w:kern w:val="0"/>
          <w:sz w:val="32"/>
          <w:szCs w:val="32"/>
          <w:lang w:eastAsia="zh-CN"/>
        </w:rPr>
        <w:t>四川</w:t>
      </w:r>
      <w:r>
        <w:rPr>
          <w:color w:val="auto"/>
          <w:kern w:val="0"/>
          <w:sz w:val="32"/>
          <w:szCs w:val="32"/>
        </w:rPr>
        <w:t>省关于工程建设质量管理的各项规定，提高工程质量水平</w:t>
      </w:r>
      <w:r>
        <w:rPr>
          <w:rFonts w:hint="eastAsia"/>
          <w:color w:val="auto"/>
          <w:kern w:val="0"/>
          <w:sz w:val="32"/>
          <w:szCs w:val="32"/>
        </w:rPr>
        <w:t>；要落实稳定工作属地责任，超前谋划并做好环境社会风险防范与化解，</w:t>
      </w:r>
      <w:r>
        <w:rPr>
          <w:color w:val="auto"/>
          <w:kern w:val="0"/>
          <w:sz w:val="32"/>
          <w:szCs w:val="32"/>
        </w:rPr>
        <w:t>做好项目前期准备、实施、竣工验收、项目后评估等工作，确保完成规划确定的各项建设任务。</w:t>
      </w:r>
    </w:p>
    <w:p>
      <w:pPr>
        <w:pStyle w:val="2"/>
        <w:spacing w:before="0" w:after="0" w:line="580" w:lineRule="exact"/>
        <w:ind w:firstLine="643"/>
        <w:rPr>
          <w:b w:val="0"/>
          <w:bCs/>
          <w:color w:val="auto"/>
          <w:sz w:val="32"/>
          <w:szCs w:val="32"/>
        </w:rPr>
      </w:pPr>
      <w:bookmarkStart w:id="49" w:name="_Toc12689"/>
      <w:bookmarkStart w:id="50" w:name="_Toc3322"/>
    </w:p>
    <w:p>
      <w:pPr>
        <w:pStyle w:val="2"/>
        <w:spacing w:before="0" w:after="0" w:line="580" w:lineRule="exact"/>
        <w:ind w:firstLine="643"/>
        <w:rPr>
          <w:b w:val="0"/>
          <w:bCs/>
          <w:color w:val="auto"/>
          <w:sz w:val="32"/>
          <w:szCs w:val="32"/>
        </w:rPr>
      </w:pPr>
      <w:bookmarkStart w:id="51" w:name="_Toc1569728"/>
      <w:r>
        <w:rPr>
          <w:b w:val="0"/>
          <w:bCs/>
          <w:color w:val="auto"/>
          <w:sz w:val="32"/>
          <w:szCs w:val="32"/>
        </w:rPr>
        <w:t>附表1</w:t>
      </w:r>
      <w:r>
        <w:rPr>
          <w:rFonts w:hint="eastAsia"/>
          <w:b w:val="0"/>
          <w:bCs/>
          <w:color w:val="auto"/>
          <w:sz w:val="32"/>
          <w:szCs w:val="32"/>
        </w:rPr>
        <w:t xml:space="preserve"> </w:t>
      </w:r>
      <w:r>
        <w:rPr>
          <w:b w:val="0"/>
          <w:bCs/>
          <w:color w:val="auto"/>
          <w:w w:val="90"/>
          <w:sz w:val="32"/>
          <w:szCs w:val="32"/>
        </w:rPr>
        <w:t>四川省生活垃圾焚烧发电已建成投运项目表</w:t>
      </w:r>
      <w:bookmarkEnd w:id="49"/>
      <w:bookmarkEnd w:id="50"/>
      <w:bookmarkEnd w:id="51"/>
    </w:p>
    <w:p>
      <w:pPr>
        <w:pStyle w:val="2"/>
        <w:spacing w:before="0" w:after="0" w:line="580" w:lineRule="exact"/>
        <w:ind w:firstLine="643"/>
        <w:rPr>
          <w:b w:val="0"/>
          <w:bCs/>
          <w:color w:val="auto"/>
          <w:w w:val="90"/>
          <w:sz w:val="32"/>
          <w:szCs w:val="32"/>
        </w:rPr>
      </w:pPr>
      <w:bookmarkStart w:id="52" w:name="_Toc19422"/>
      <w:bookmarkStart w:id="53" w:name="_Toc1569729"/>
      <w:bookmarkStart w:id="54" w:name="_Toc10886"/>
      <w:r>
        <w:rPr>
          <w:b w:val="0"/>
          <w:bCs/>
          <w:color w:val="auto"/>
          <w:sz w:val="32"/>
          <w:szCs w:val="32"/>
        </w:rPr>
        <w:t>附表2</w:t>
      </w:r>
      <w:r>
        <w:rPr>
          <w:rFonts w:hint="eastAsia"/>
          <w:b w:val="0"/>
          <w:bCs/>
          <w:color w:val="auto"/>
          <w:sz w:val="32"/>
          <w:szCs w:val="32"/>
          <w:lang w:val="en-US" w:eastAsia="zh-CN"/>
        </w:rPr>
        <w:t xml:space="preserve"> </w:t>
      </w:r>
      <w:r>
        <w:rPr>
          <w:b w:val="0"/>
          <w:bCs/>
          <w:color w:val="auto"/>
          <w:w w:val="90"/>
          <w:sz w:val="32"/>
          <w:szCs w:val="32"/>
        </w:rPr>
        <w:t>四川省生活垃圾焚烧发电拟建项目表（</w:t>
      </w:r>
      <w:r>
        <w:rPr>
          <w:rFonts w:hint="eastAsia"/>
          <w:b w:val="0"/>
          <w:bCs/>
          <w:color w:val="auto"/>
          <w:w w:val="90"/>
          <w:sz w:val="32"/>
          <w:szCs w:val="32"/>
        </w:rPr>
        <w:t>2018—</w:t>
      </w:r>
      <w:r>
        <w:rPr>
          <w:b w:val="0"/>
          <w:bCs/>
          <w:color w:val="auto"/>
          <w:w w:val="90"/>
          <w:sz w:val="32"/>
          <w:szCs w:val="32"/>
        </w:rPr>
        <w:t>2020年）</w:t>
      </w:r>
      <w:bookmarkEnd w:id="52"/>
      <w:bookmarkEnd w:id="53"/>
      <w:bookmarkEnd w:id="54"/>
    </w:p>
    <w:p>
      <w:pPr>
        <w:pStyle w:val="2"/>
        <w:spacing w:before="0" w:after="0" w:line="580" w:lineRule="exact"/>
        <w:ind w:firstLine="643"/>
        <w:rPr>
          <w:b w:val="0"/>
          <w:bCs/>
          <w:color w:val="auto"/>
          <w:w w:val="90"/>
          <w:sz w:val="30"/>
          <w:szCs w:val="30"/>
        </w:rPr>
      </w:pPr>
      <w:bookmarkStart w:id="55" w:name="_Toc32088"/>
      <w:bookmarkStart w:id="56" w:name="_Toc8186"/>
      <w:bookmarkStart w:id="57" w:name="_Toc1569730"/>
      <w:r>
        <w:rPr>
          <w:b w:val="0"/>
          <w:bCs/>
          <w:color w:val="auto"/>
          <w:sz w:val="32"/>
          <w:szCs w:val="32"/>
        </w:rPr>
        <w:t>附表3</w:t>
      </w:r>
      <w:r>
        <w:rPr>
          <w:rFonts w:hint="eastAsia"/>
          <w:b w:val="0"/>
          <w:bCs/>
          <w:color w:val="auto"/>
          <w:sz w:val="32"/>
          <w:szCs w:val="32"/>
        </w:rPr>
        <w:t xml:space="preserve"> </w:t>
      </w:r>
      <w:r>
        <w:rPr>
          <w:b w:val="0"/>
          <w:bCs/>
          <w:color w:val="auto"/>
          <w:w w:val="90"/>
          <w:sz w:val="32"/>
          <w:szCs w:val="32"/>
        </w:rPr>
        <w:t>四川省生活垃圾焚烧发电拟建项目表（</w:t>
      </w:r>
      <w:r>
        <w:rPr>
          <w:rFonts w:hint="eastAsia"/>
          <w:b w:val="0"/>
          <w:bCs/>
          <w:color w:val="auto"/>
          <w:w w:val="90"/>
          <w:sz w:val="32"/>
          <w:szCs w:val="32"/>
        </w:rPr>
        <w:t>2021—</w:t>
      </w:r>
      <w:r>
        <w:rPr>
          <w:b w:val="0"/>
          <w:bCs/>
          <w:color w:val="auto"/>
          <w:w w:val="90"/>
          <w:sz w:val="32"/>
          <w:szCs w:val="32"/>
        </w:rPr>
        <w:t>20</w:t>
      </w:r>
      <w:r>
        <w:rPr>
          <w:rFonts w:hint="eastAsia"/>
          <w:b w:val="0"/>
          <w:bCs/>
          <w:color w:val="auto"/>
          <w:w w:val="90"/>
          <w:sz w:val="32"/>
          <w:szCs w:val="32"/>
        </w:rPr>
        <w:t>3</w:t>
      </w:r>
      <w:r>
        <w:rPr>
          <w:b w:val="0"/>
          <w:bCs/>
          <w:color w:val="auto"/>
          <w:w w:val="90"/>
          <w:sz w:val="32"/>
          <w:szCs w:val="32"/>
        </w:rPr>
        <w:t>0年）</w:t>
      </w:r>
      <w:bookmarkEnd w:id="55"/>
      <w:bookmarkEnd w:id="56"/>
      <w:bookmarkEnd w:id="57"/>
    </w:p>
    <w:p>
      <w:pPr>
        <w:pStyle w:val="9"/>
        <w:spacing w:line="580" w:lineRule="exact"/>
        <w:ind w:firstLine="640"/>
        <w:rPr>
          <w:color w:val="auto"/>
          <w:kern w:val="0"/>
          <w:sz w:val="32"/>
          <w:szCs w:val="32"/>
        </w:rPr>
      </w:pPr>
    </w:p>
    <w:p>
      <w:pPr>
        <w:spacing w:line="580" w:lineRule="exact"/>
        <w:ind w:firstLine="640" w:firstLineChars="200"/>
        <w:rPr>
          <w:color w:val="auto"/>
          <w:szCs w:val="32"/>
        </w:rPr>
      </w:pPr>
    </w:p>
    <w:sectPr>
      <w:footerReference r:id="rId3" w:type="default"/>
      <w:pgSz w:w="11906" w:h="16838"/>
      <w:pgMar w:top="2098" w:right="1588" w:bottom="2098" w:left="1588" w:header="851" w:footer="1928" w:gutter="0"/>
      <w:pgNumType w:start="1"/>
      <w:cols w:space="720"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framePr w:wrap="around" w:vAnchor="text" w:hAnchor="margin" w:xAlign="outside" w:y="1"/>
      <w:rPr>
        <w:rStyle w:val="37"/>
        <w:rFonts w:ascii="仿宋_GB2312"/>
        <w:sz w:val="24"/>
      </w:rPr>
    </w:pPr>
    <w:r>
      <w:rPr>
        <w:rStyle w:val="37"/>
        <w:rFonts w:ascii="仿宋_GB2312"/>
        <w:sz w:val="24"/>
      </w:rPr>
      <w:t xml:space="preserve">— </w:t>
    </w:r>
    <w:r>
      <w:rPr>
        <w:sz w:val="28"/>
      </w:rPr>
      <w:fldChar w:fldCharType="begin"/>
    </w:r>
    <w:r>
      <w:rPr>
        <w:rStyle w:val="37"/>
        <w:sz w:val="28"/>
      </w:rPr>
      <w:instrText xml:space="preserve">PAGE  </w:instrText>
    </w:r>
    <w:r>
      <w:rPr>
        <w:sz w:val="28"/>
      </w:rPr>
      <w:fldChar w:fldCharType="separate"/>
    </w:r>
    <w:r>
      <w:rPr>
        <w:rStyle w:val="37"/>
        <w:sz w:val="28"/>
      </w:rPr>
      <w:t>20</w:t>
    </w:r>
    <w:r>
      <w:rPr>
        <w:sz w:val="28"/>
      </w:rPr>
      <w:fldChar w:fldCharType="end"/>
    </w:r>
    <w:r>
      <w:rPr>
        <w:rStyle w:val="37"/>
        <w:rFonts w:ascii="仿宋_GB2312"/>
        <w:sz w:val="24"/>
      </w:rPr>
      <w:t xml:space="preserve"> —</w:t>
    </w:r>
  </w:p>
  <w:p>
    <w:pPr>
      <w:pStyle w:val="2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oNotHyphenateCaps/>
  <w:drawingGridHorizontalSpacing w:val="160"/>
  <w:drawingGridVerticalSpacing w:val="218"/>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492"/>
    <w:rsid w:val="00000286"/>
    <w:rsid w:val="0000080D"/>
    <w:rsid w:val="000015B6"/>
    <w:rsid w:val="000022C7"/>
    <w:rsid w:val="000037FC"/>
    <w:rsid w:val="00004D39"/>
    <w:rsid w:val="00005FDA"/>
    <w:rsid w:val="0001243E"/>
    <w:rsid w:val="000205BA"/>
    <w:rsid w:val="000212A0"/>
    <w:rsid w:val="0002141C"/>
    <w:rsid w:val="00021C4E"/>
    <w:rsid w:val="00022149"/>
    <w:rsid w:val="00023887"/>
    <w:rsid w:val="000252E1"/>
    <w:rsid w:val="00027EE9"/>
    <w:rsid w:val="00030181"/>
    <w:rsid w:val="00030B37"/>
    <w:rsid w:val="00031406"/>
    <w:rsid w:val="0003328F"/>
    <w:rsid w:val="000334FB"/>
    <w:rsid w:val="00033551"/>
    <w:rsid w:val="00035BD7"/>
    <w:rsid w:val="00037CFD"/>
    <w:rsid w:val="00042460"/>
    <w:rsid w:val="0004342F"/>
    <w:rsid w:val="00043B9B"/>
    <w:rsid w:val="00045271"/>
    <w:rsid w:val="0004538F"/>
    <w:rsid w:val="00046EC4"/>
    <w:rsid w:val="00052394"/>
    <w:rsid w:val="00053B15"/>
    <w:rsid w:val="00054A50"/>
    <w:rsid w:val="000572E7"/>
    <w:rsid w:val="00060CDA"/>
    <w:rsid w:val="00061326"/>
    <w:rsid w:val="00062775"/>
    <w:rsid w:val="00062955"/>
    <w:rsid w:val="000637E7"/>
    <w:rsid w:val="00064A49"/>
    <w:rsid w:val="000655F2"/>
    <w:rsid w:val="000716E8"/>
    <w:rsid w:val="00071E2D"/>
    <w:rsid w:val="00073991"/>
    <w:rsid w:val="00074B97"/>
    <w:rsid w:val="00074BE6"/>
    <w:rsid w:val="0007503C"/>
    <w:rsid w:val="0007590B"/>
    <w:rsid w:val="0007714A"/>
    <w:rsid w:val="0007753A"/>
    <w:rsid w:val="00081234"/>
    <w:rsid w:val="000815E9"/>
    <w:rsid w:val="00082E08"/>
    <w:rsid w:val="000844B2"/>
    <w:rsid w:val="00086A4E"/>
    <w:rsid w:val="00091979"/>
    <w:rsid w:val="00092D65"/>
    <w:rsid w:val="0009482F"/>
    <w:rsid w:val="00094FA4"/>
    <w:rsid w:val="00097178"/>
    <w:rsid w:val="000976B8"/>
    <w:rsid w:val="000A0492"/>
    <w:rsid w:val="000A0517"/>
    <w:rsid w:val="000A136E"/>
    <w:rsid w:val="000A3970"/>
    <w:rsid w:val="000A3F87"/>
    <w:rsid w:val="000A7010"/>
    <w:rsid w:val="000B08DE"/>
    <w:rsid w:val="000B12F7"/>
    <w:rsid w:val="000B3087"/>
    <w:rsid w:val="000B30DB"/>
    <w:rsid w:val="000B374C"/>
    <w:rsid w:val="000B5C2C"/>
    <w:rsid w:val="000B76A0"/>
    <w:rsid w:val="000C1019"/>
    <w:rsid w:val="000C2966"/>
    <w:rsid w:val="000C3F06"/>
    <w:rsid w:val="000C6D85"/>
    <w:rsid w:val="000C6EBA"/>
    <w:rsid w:val="000C7612"/>
    <w:rsid w:val="000C793D"/>
    <w:rsid w:val="000C79E0"/>
    <w:rsid w:val="000D0CC9"/>
    <w:rsid w:val="000D1852"/>
    <w:rsid w:val="000D1914"/>
    <w:rsid w:val="000D2F51"/>
    <w:rsid w:val="000E23C5"/>
    <w:rsid w:val="000E4C73"/>
    <w:rsid w:val="000E5C6B"/>
    <w:rsid w:val="000E5CC7"/>
    <w:rsid w:val="000E76E0"/>
    <w:rsid w:val="000F2175"/>
    <w:rsid w:val="000F2F53"/>
    <w:rsid w:val="000F2F5C"/>
    <w:rsid w:val="000F319F"/>
    <w:rsid w:val="000F49C4"/>
    <w:rsid w:val="000F61D5"/>
    <w:rsid w:val="000F7990"/>
    <w:rsid w:val="0010186F"/>
    <w:rsid w:val="00101B5A"/>
    <w:rsid w:val="00104BE4"/>
    <w:rsid w:val="00106B86"/>
    <w:rsid w:val="00107B80"/>
    <w:rsid w:val="00110002"/>
    <w:rsid w:val="00111E23"/>
    <w:rsid w:val="001126E2"/>
    <w:rsid w:val="00113A5A"/>
    <w:rsid w:val="00114133"/>
    <w:rsid w:val="001158E7"/>
    <w:rsid w:val="001160F6"/>
    <w:rsid w:val="001164CF"/>
    <w:rsid w:val="00116740"/>
    <w:rsid w:val="00116DCE"/>
    <w:rsid w:val="00120072"/>
    <w:rsid w:val="001230F6"/>
    <w:rsid w:val="00123CA1"/>
    <w:rsid w:val="00124750"/>
    <w:rsid w:val="00125DC0"/>
    <w:rsid w:val="00127968"/>
    <w:rsid w:val="00131518"/>
    <w:rsid w:val="001328EB"/>
    <w:rsid w:val="00133A7C"/>
    <w:rsid w:val="00133D9E"/>
    <w:rsid w:val="001345E5"/>
    <w:rsid w:val="001405EA"/>
    <w:rsid w:val="00140C3C"/>
    <w:rsid w:val="00141500"/>
    <w:rsid w:val="001430C0"/>
    <w:rsid w:val="001435C0"/>
    <w:rsid w:val="00145599"/>
    <w:rsid w:val="001465FA"/>
    <w:rsid w:val="00146991"/>
    <w:rsid w:val="00150024"/>
    <w:rsid w:val="00153E41"/>
    <w:rsid w:val="001572AA"/>
    <w:rsid w:val="00157C54"/>
    <w:rsid w:val="00161305"/>
    <w:rsid w:val="0016303D"/>
    <w:rsid w:val="0016651D"/>
    <w:rsid w:val="00166FA9"/>
    <w:rsid w:val="001708F0"/>
    <w:rsid w:val="00171EF9"/>
    <w:rsid w:val="00173808"/>
    <w:rsid w:val="00173984"/>
    <w:rsid w:val="00176CED"/>
    <w:rsid w:val="00184967"/>
    <w:rsid w:val="001850F2"/>
    <w:rsid w:val="00185D04"/>
    <w:rsid w:val="00186AB7"/>
    <w:rsid w:val="0019070A"/>
    <w:rsid w:val="00190769"/>
    <w:rsid w:val="00191F2E"/>
    <w:rsid w:val="001930BE"/>
    <w:rsid w:val="00193132"/>
    <w:rsid w:val="00195109"/>
    <w:rsid w:val="001A020D"/>
    <w:rsid w:val="001A2A4D"/>
    <w:rsid w:val="001A2F4A"/>
    <w:rsid w:val="001A5E05"/>
    <w:rsid w:val="001A7DD3"/>
    <w:rsid w:val="001B00E8"/>
    <w:rsid w:val="001B017F"/>
    <w:rsid w:val="001B1307"/>
    <w:rsid w:val="001B2043"/>
    <w:rsid w:val="001B2BE0"/>
    <w:rsid w:val="001B36B2"/>
    <w:rsid w:val="001B54FA"/>
    <w:rsid w:val="001B5F7A"/>
    <w:rsid w:val="001C1543"/>
    <w:rsid w:val="001C1AEA"/>
    <w:rsid w:val="001C1E02"/>
    <w:rsid w:val="001C49AF"/>
    <w:rsid w:val="001C6C1D"/>
    <w:rsid w:val="001C6D2E"/>
    <w:rsid w:val="001D2E6B"/>
    <w:rsid w:val="001D3A33"/>
    <w:rsid w:val="001D3F02"/>
    <w:rsid w:val="001D4A51"/>
    <w:rsid w:val="001E20FE"/>
    <w:rsid w:val="001E274C"/>
    <w:rsid w:val="001E2F47"/>
    <w:rsid w:val="001E2F60"/>
    <w:rsid w:val="001E3F2D"/>
    <w:rsid w:val="001E62C2"/>
    <w:rsid w:val="001E6671"/>
    <w:rsid w:val="001E6735"/>
    <w:rsid w:val="001E7820"/>
    <w:rsid w:val="001F2ACF"/>
    <w:rsid w:val="001F2F64"/>
    <w:rsid w:val="001F4594"/>
    <w:rsid w:val="001F495A"/>
    <w:rsid w:val="001F4A39"/>
    <w:rsid w:val="001F5280"/>
    <w:rsid w:val="002039FC"/>
    <w:rsid w:val="00206BFB"/>
    <w:rsid w:val="00206C43"/>
    <w:rsid w:val="002105D6"/>
    <w:rsid w:val="002144C3"/>
    <w:rsid w:val="00215923"/>
    <w:rsid w:val="00216E09"/>
    <w:rsid w:val="00220BF7"/>
    <w:rsid w:val="00222E6A"/>
    <w:rsid w:val="002253E5"/>
    <w:rsid w:val="00233933"/>
    <w:rsid w:val="00234108"/>
    <w:rsid w:val="0023652A"/>
    <w:rsid w:val="00240892"/>
    <w:rsid w:val="00244513"/>
    <w:rsid w:val="00244546"/>
    <w:rsid w:val="002448C0"/>
    <w:rsid w:val="002452D9"/>
    <w:rsid w:val="00247FA8"/>
    <w:rsid w:val="00260540"/>
    <w:rsid w:val="002610C5"/>
    <w:rsid w:val="002653F0"/>
    <w:rsid w:val="0026738A"/>
    <w:rsid w:val="002677C9"/>
    <w:rsid w:val="00271784"/>
    <w:rsid w:val="00271884"/>
    <w:rsid w:val="00274E4D"/>
    <w:rsid w:val="00275BE6"/>
    <w:rsid w:val="00275C39"/>
    <w:rsid w:val="002770C7"/>
    <w:rsid w:val="00277E03"/>
    <w:rsid w:val="00280266"/>
    <w:rsid w:val="00283C8C"/>
    <w:rsid w:val="00287C9F"/>
    <w:rsid w:val="002919C8"/>
    <w:rsid w:val="002934AB"/>
    <w:rsid w:val="002944E8"/>
    <w:rsid w:val="00295B21"/>
    <w:rsid w:val="00295B53"/>
    <w:rsid w:val="002A06D9"/>
    <w:rsid w:val="002A2452"/>
    <w:rsid w:val="002A3C8D"/>
    <w:rsid w:val="002A4352"/>
    <w:rsid w:val="002A48B6"/>
    <w:rsid w:val="002A4D41"/>
    <w:rsid w:val="002A5808"/>
    <w:rsid w:val="002B1CAC"/>
    <w:rsid w:val="002B20EA"/>
    <w:rsid w:val="002B215B"/>
    <w:rsid w:val="002B25E6"/>
    <w:rsid w:val="002B4203"/>
    <w:rsid w:val="002B5BD3"/>
    <w:rsid w:val="002B5DA9"/>
    <w:rsid w:val="002C0438"/>
    <w:rsid w:val="002C0A5B"/>
    <w:rsid w:val="002C0C08"/>
    <w:rsid w:val="002C0C5C"/>
    <w:rsid w:val="002C215C"/>
    <w:rsid w:val="002C2A32"/>
    <w:rsid w:val="002C2D9B"/>
    <w:rsid w:val="002C4149"/>
    <w:rsid w:val="002C594C"/>
    <w:rsid w:val="002C6AA7"/>
    <w:rsid w:val="002C7457"/>
    <w:rsid w:val="002C7496"/>
    <w:rsid w:val="002C7DE1"/>
    <w:rsid w:val="002D0924"/>
    <w:rsid w:val="002D0F94"/>
    <w:rsid w:val="002D2739"/>
    <w:rsid w:val="002D2CD4"/>
    <w:rsid w:val="002D2FD4"/>
    <w:rsid w:val="002D373D"/>
    <w:rsid w:val="002D56C7"/>
    <w:rsid w:val="002D65B2"/>
    <w:rsid w:val="002E0344"/>
    <w:rsid w:val="002E1987"/>
    <w:rsid w:val="002E3647"/>
    <w:rsid w:val="002E3C10"/>
    <w:rsid w:val="002E6BBD"/>
    <w:rsid w:val="002F3E46"/>
    <w:rsid w:val="003008F6"/>
    <w:rsid w:val="00302528"/>
    <w:rsid w:val="0030261A"/>
    <w:rsid w:val="00304C55"/>
    <w:rsid w:val="00305928"/>
    <w:rsid w:val="003059C3"/>
    <w:rsid w:val="00310D58"/>
    <w:rsid w:val="00311499"/>
    <w:rsid w:val="00313EE3"/>
    <w:rsid w:val="0031461D"/>
    <w:rsid w:val="0031503B"/>
    <w:rsid w:val="00317AED"/>
    <w:rsid w:val="00320BB2"/>
    <w:rsid w:val="00323554"/>
    <w:rsid w:val="003247D2"/>
    <w:rsid w:val="00327B97"/>
    <w:rsid w:val="00331037"/>
    <w:rsid w:val="003314C8"/>
    <w:rsid w:val="00331DCB"/>
    <w:rsid w:val="00335653"/>
    <w:rsid w:val="00335D75"/>
    <w:rsid w:val="00346BBA"/>
    <w:rsid w:val="0035066E"/>
    <w:rsid w:val="00350B3C"/>
    <w:rsid w:val="00350C0D"/>
    <w:rsid w:val="00351147"/>
    <w:rsid w:val="00352C10"/>
    <w:rsid w:val="003545BC"/>
    <w:rsid w:val="003551E3"/>
    <w:rsid w:val="00355386"/>
    <w:rsid w:val="0035636F"/>
    <w:rsid w:val="00361474"/>
    <w:rsid w:val="00363574"/>
    <w:rsid w:val="003641DC"/>
    <w:rsid w:val="003649B0"/>
    <w:rsid w:val="00365F91"/>
    <w:rsid w:val="00366282"/>
    <w:rsid w:val="003662D2"/>
    <w:rsid w:val="003665B2"/>
    <w:rsid w:val="003746F5"/>
    <w:rsid w:val="00377BB3"/>
    <w:rsid w:val="00380A35"/>
    <w:rsid w:val="00381DB2"/>
    <w:rsid w:val="003849AD"/>
    <w:rsid w:val="003850C8"/>
    <w:rsid w:val="00385DB8"/>
    <w:rsid w:val="0038641A"/>
    <w:rsid w:val="00387879"/>
    <w:rsid w:val="00387DF5"/>
    <w:rsid w:val="00391219"/>
    <w:rsid w:val="00393CC5"/>
    <w:rsid w:val="00394C21"/>
    <w:rsid w:val="00394F09"/>
    <w:rsid w:val="00395390"/>
    <w:rsid w:val="003954D2"/>
    <w:rsid w:val="00395999"/>
    <w:rsid w:val="003965AC"/>
    <w:rsid w:val="00397E9E"/>
    <w:rsid w:val="003A1697"/>
    <w:rsid w:val="003B0D4E"/>
    <w:rsid w:val="003B3F97"/>
    <w:rsid w:val="003B60DB"/>
    <w:rsid w:val="003C07F1"/>
    <w:rsid w:val="003C0B7A"/>
    <w:rsid w:val="003C0FFB"/>
    <w:rsid w:val="003C2C43"/>
    <w:rsid w:val="003C37C4"/>
    <w:rsid w:val="003C5F99"/>
    <w:rsid w:val="003C6A84"/>
    <w:rsid w:val="003C7BF5"/>
    <w:rsid w:val="003D1859"/>
    <w:rsid w:val="003D2B57"/>
    <w:rsid w:val="003D55CA"/>
    <w:rsid w:val="003D7E61"/>
    <w:rsid w:val="003E0230"/>
    <w:rsid w:val="003E059B"/>
    <w:rsid w:val="003E0D74"/>
    <w:rsid w:val="003E1005"/>
    <w:rsid w:val="003E2D9E"/>
    <w:rsid w:val="003E7E36"/>
    <w:rsid w:val="003F0591"/>
    <w:rsid w:val="003F0BA2"/>
    <w:rsid w:val="003F0F61"/>
    <w:rsid w:val="00401AB0"/>
    <w:rsid w:val="004037A5"/>
    <w:rsid w:val="00404C16"/>
    <w:rsid w:val="00406183"/>
    <w:rsid w:val="00414F32"/>
    <w:rsid w:val="00415B89"/>
    <w:rsid w:val="00417F4C"/>
    <w:rsid w:val="0042113B"/>
    <w:rsid w:val="0042125B"/>
    <w:rsid w:val="00422D48"/>
    <w:rsid w:val="00423B5E"/>
    <w:rsid w:val="00424E36"/>
    <w:rsid w:val="00426B9A"/>
    <w:rsid w:val="00426CBC"/>
    <w:rsid w:val="004271F2"/>
    <w:rsid w:val="00430613"/>
    <w:rsid w:val="004327D8"/>
    <w:rsid w:val="00432D67"/>
    <w:rsid w:val="00433653"/>
    <w:rsid w:val="00433E1B"/>
    <w:rsid w:val="004376B8"/>
    <w:rsid w:val="00441003"/>
    <w:rsid w:val="00441AD5"/>
    <w:rsid w:val="004429F6"/>
    <w:rsid w:val="00447E7B"/>
    <w:rsid w:val="004510D1"/>
    <w:rsid w:val="00452757"/>
    <w:rsid w:val="00452D22"/>
    <w:rsid w:val="0045322C"/>
    <w:rsid w:val="00460A5F"/>
    <w:rsid w:val="00460F0A"/>
    <w:rsid w:val="00460FD9"/>
    <w:rsid w:val="00462137"/>
    <w:rsid w:val="00463953"/>
    <w:rsid w:val="004641B1"/>
    <w:rsid w:val="00464AC6"/>
    <w:rsid w:val="00465F3E"/>
    <w:rsid w:val="0046760A"/>
    <w:rsid w:val="00471B98"/>
    <w:rsid w:val="00472245"/>
    <w:rsid w:val="00472410"/>
    <w:rsid w:val="004731E4"/>
    <w:rsid w:val="004758EF"/>
    <w:rsid w:val="004802BA"/>
    <w:rsid w:val="00480504"/>
    <w:rsid w:val="00480736"/>
    <w:rsid w:val="00480C92"/>
    <w:rsid w:val="00481065"/>
    <w:rsid w:val="00481C76"/>
    <w:rsid w:val="004828F9"/>
    <w:rsid w:val="00482FA5"/>
    <w:rsid w:val="00485586"/>
    <w:rsid w:val="00487380"/>
    <w:rsid w:val="00487810"/>
    <w:rsid w:val="00487B06"/>
    <w:rsid w:val="004929F3"/>
    <w:rsid w:val="004945DC"/>
    <w:rsid w:val="00494E87"/>
    <w:rsid w:val="0049617A"/>
    <w:rsid w:val="00496E04"/>
    <w:rsid w:val="00497916"/>
    <w:rsid w:val="004A0989"/>
    <w:rsid w:val="004A11C5"/>
    <w:rsid w:val="004A1F28"/>
    <w:rsid w:val="004A27E6"/>
    <w:rsid w:val="004A32D7"/>
    <w:rsid w:val="004A52BC"/>
    <w:rsid w:val="004A5761"/>
    <w:rsid w:val="004A766A"/>
    <w:rsid w:val="004A79ED"/>
    <w:rsid w:val="004B21A3"/>
    <w:rsid w:val="004B4646"/>
    <w:rsid w:val="004B6BD2"/>
    <w:rsid w:val="004B77B5"/>
    <w:rsid w:val="004C0A34"/>
    <w:rsid w:val="004C3D9A"/>
    <w:rsid w:val="004C44E7"/>
    <w:rsid w:val="004C5957"/>
    <w:rsid w:val="004C71C7"/>
    <w:rsid w:val="004C7B24"/>
    <w:rsid w:val="004D2288"/>
    <w:rsid w:val="004D2AE3"/>
    <w:rsid w:val="004D33BC"/>
    <w:rsid w:val="004D41F6"/>
    <w:rsid w:val="004E0811"/>
    <w:rsid w:val="004E0AE0"/>
    <w:rsid w:val="004E0F04"/>
    <w:rsid w:val="004E1D2C"/>
    <w:rsid w:val="004E252E"/>
    <w:rsid w:val="004E5C8E"/>
    <w:rsid w:val="004E70C1"/>
    <w:rsid w:val="004F0416"/>
    <w:rsid w:val="004F386C"/>
    <w:rsid w:val="004F441B"/>
    <w:rsid w:val="004F4516"/>
    <w:rsid w:val="004F4BF7"/>
    <w:rsid w:val="004F5C44"/>
    <w:rsid w:val="004F640D"/>
    <w:rsid w:val="004F7486"/>
    <w:rsid w:val="004F7E54"/>
    <w:rsid w:val="004F7FDC"/>
    <w:rsid w:val="00500796"/>
    <w:rsid w:val="00504166"/>
    <w:rsid w:val="005106D9"/>
    <w:rsid w:val="005112A0"/>
    <w:rsid w:val="00512E7A"/>
    <w:rsid w:val="00512EBD"/>
    <w:rsid w:val="00513266"/>
    <w:rsid w:val="005167DA"/>
    <w:rsid w:val="00516C63"/>
    <w:rsid w:val="00517C23"/>
    <w:rsid w:val="005201AB"/>
    <w:rsid w:val="005209CB"/>
    <w:rsid w:val="005227D0"/>
    <w:rsid w:val="0052499E"/>
    <w:rsid w:val="00525D96"/>
    <w:rsid w:val="00526011"/>
    <w:rsid w:val="00530747"/>
    <w:rsid w:val="00531666"/>
    <w:rsid w:val="005318C1"/>
    <w:rsid w:val="00531C05"/>
    <w:rsid w:val="00532B85"/>
    <w:rsid w:val="00533507"/>
    <w:rsid w:val="00533E8D"/>
    <w:rsid w:val="005340E9"/>
    <w:rsid w:val="0053589B"/>
    <w:rsid w:val="005403A8"/>
    <w:rsid w:val="005410A5"/>
    <w:rsid w:val="005431FF"/>
    <w:rsid w:val="0054551E"/>
    <w:rsid w:val="00552903"/>
    <w:rsid w:val="00553DB4"/>
    <w:rsid w:val="0055411E"/>
    <w:rsid w:val="005548FE"/>
    <w:rsid w:val="0055496F"/>
    <w:rsid w:val="005549BC"/>
    <w:rsid w:val="00556BF2"/>
    <w:rsid w:val="00561FA4"/>
    <w:rsid w:val="0056403C"/>
    <w:rsid w:val="005641A2"/>
    <w:rsid w:val="00564677"/>
    <w:rsid w:val="00564CC1"/>
    <w:rsid w:val="005657E0"/>
    <w:rsid w:val="0057243D"/>
    <w:rsid w:val="0057551D"/>
    <w:rsid w:val="00575FC3"/>
    <w:rsid w:val="00577BDA"/>
    <w:rsid w:val="00585BDA"/>
    <w:rsid w:val="00585DCD"/>
    <w:rsid w:val="00585E09"/>
    <w:rsid w:val="005876FD"/>
    <w:rsid w:val="00593620"/>
    <w:rsid w:val="00595B03"/>
    <w:rsid w:val="00595DBB"/>
    <w:rsid w:val="005963BF"/>
    <w:rsid w:val="00597999"/>
    <w:rsid w:val="005A0C76"/>
    <w:rsid w:val="005A1C95"/>
    <w:rsid w:val="005A1D26"/>
    <w:rsid w:val="005A38F7"/>
    <w:rsid w:val="005B3461"/>
    <w:rsid w:val="005B373D"/>
    <w:rsid w:val="005B446F"/>
    <w:rsid w:val="005B6216"/>
    <w:rsid w:val="005B6707"/>
    <w:rsid w:val="005C0765"/>
    <w:rsid w:val="005C3878"/>
    <w:rsid w:val="005C4B59"/>
    <w:rsid w:val="005C664F"/>
    <w:rsid w:val="005C7977"/>
    <w:rsid w:val="005D0B7F"/>
    <w:rsid w:val="005D1153"/>
    <w:rsid w:val="005D7548"/>
    <w:rsid w:val="005E0B7B"/>
    <w:rsid w:val="005E0E1B"/>
    <w:rsid w:val="005E35D3"/>
    <w:rsid w:val="005E38B9"/>
    <w:rsid w:val="005F245E"/>
    <w:rsid w:val="005F3748"/>
    <w:rsid w:val="005F3B87"/>
    <w:rsid w:val="005F76C4"/>
    <w:rsid w:val="0060214D"/>
    <w:rsid w:val="006037BC"/>
    <w:rsid w:val="00604429"/>
    <w:rsid w:val="006055AC"/>
    <w:rsid w:val="00605DB4"/>
    <w:rsid w:val="0060700D"/>
    <w:rsid w:val="00607CBC"/>
    <w:rsid w:val="006109C1"/>
    <w:rsid w:val="006111B9"/>
    <w:rsid w:val="00613C16"/>
    <w:rsid w:val="006144CB"/>
    <w:rsid w:val="00617A53"/>
    <w:rsid w:val="00621140"/>
    <w:rsid w:val="00621B77"/>
    <w:rsid w:val="0062212D"/>
    <w:rsid w:val="006232B7"/>
    <w:rsid w:val="00624178"/>
    <w:rsid w:val="00625D1B"/>
    <w:rsid w:val="0062783E"/>
    <w:rsid w:val="00627852"/>
    <w:rsid w:val="0063378C"/>
    <w:rsid w:val="00634B9E"/>
    <w:rsid w:val="0063599D"/>
    <w:rsid w:val="00636B13"/>
    <w:rsid w:val="0064237A"/>
    <w:rsid w:val="00644C0D"/>
    <w:rsid w:val="00651393"/>
    <w:rsid w:val="006530DC"/>
    <w:rsid w:val="006604B1"/>
    <w:rsid w:val="0066284E"/>
    <w:rsid w:val="006648F6"/>
    <w:rsid w:val="00665BDB"/>
    <w:rsid w:val="0066616B"/>
    <w:rsid w:val="00666C12"/>
    <w:rsid w:val="00666E4F"/>
    <w:rsid w:val="00670957"/>
    <w:rsid w:val="00671218"/>
    <w:rsid w:val="00674156"/>
    <w:rsid w:val="00677AFC"/>
    <w:rsid w:val="00681955"/>
    <w:rsid w:val="0068220C"/>
    <w:rsid w:val="00682F0B"/>
    <w:rsid w:val="0068578C"/>
    <w:rsid w:val="0068689F"/>
    <w:rsid w:val="00691D12"/>
    <w:rsid w:val="00692EBB"/>
    <w:rsid w:val="00693586"/>
    <w:rsid w:val="00693651"/>
    <w:rsid w:val="0069417E"/>
    <w:rsid w:val="006942FA"/>
    <w:rsid w:val="006955F0"/>
    <w:rsid w:val="006A0AE9"/>
    <w:rsid w:val="006A1FA6"/>
    <w:rsid w:val="006A26D0"/>
    <w:rsid w:val="006A2C12"/>
    <w:rsid w:val="006A6875"/>
    <w:rsid w:val="006A7870"/>
    <w:rsid w:val="006A7B20"/>
    <w:rsid w:val="006B1408"/>
    <w:rsid w:val="006B5880"/>
    <w:rsid w:val="006B7951"/>
    <w:rsid w:val="006C4469"/>
    <w:rsid w:val="006C4E4C"/>
    <w:rsid w:val="006C5945"/>
    <w:rsid w:val="006C7565"/>
    <w:rsid w:val="006C7B4D"/>
    <w:rsid w:val="006D0CBF"/>
    <w:rsid w:val="006D21B4"/>
    <w:rsid w:val="006D48F0"/>
    <w:rsid w:val="006D5AD5"/>
    <w:rsid w:val="006E1036"/>
    <w:rsid w:val="006E143F"/>
    <w:rsid w:val="006E1854"/>
    <w:rsid w:val="006E3E03"/>
    <w:rsid w:val="006E5755"/>
    <w:rsid w:val="006F04F8"/>
    <w:rsid w:val="006F15A7"/>
    <w:rsid w:val="006F38AD"/>
    <w:rsid w:val="006F3A00"/>
    <w:rsid w:val="006F547E"/>
    <w:rsid w:val="007025BC"/>
    <w:rsid w:val="00702D2C"/>
    <w:rsid w:val="00703EAC"/>
    <w:rsid w:val="00707147"/>
    <w:rsid w:val="00710306"/>
    <w:rsid w:val="007123FE"/>
    <w:rsid w:val="00712475"/>
    <w:rsid w:val="00712971"/>
    <w:rsid w:val="00713132"/>
    <w:rsid w:val="00715862"/>
    <w:rsid w:val="00716418"/>
    <w:rsid w:val="0071696D"/>
    <w:rsid w:val="007267EC"/>
    <w:rsid w:val="00726C7C"/>
    <w:rsid w:val="007305B1"/>
    <w:rsid w:val="0073549C"/>
    <w:rsid w:val="00735A79"/>
    <w:rsid w:val="00736084"/>
    <w:rsid w:val="00736E27"/>
    <w:rsid w:val="00737E2F"/>
    <w:rsid w:val="00740A29"/>
    <w:rsid w:val="00740F4F"/>
    <w:rsid w:val="0074169E"/>
    <w:rsid w:val="00742E97"/>
    <w:rsid w:val="00743042"/>
    <w:rsid w:val="0074442B"/>
    <w:rsid w:val="00746C15"/>
    <w:rsid w:val="007503BB"/>
    <w:rsid w:val="00752062"/>
    <w:rsid w:val="007557CE"/>
    <w:rsid w:val="00756CA2"/>
    <w:rsid w:val="00756D4C"/>
    <w:rsid w:val="00761F01"/>
    <w:rsid w:val="0076363E"/>
    <w:rsid w:val="00763C4A"/>
    <w:rsid w:val="007659FF"/>
    <w:rsid w:val="0076611B"/>
    <w:rsid w:val="007663CC"/>
    <w:rsid w:val="00767BEC"/>
    <w:rsid w:val="00774A6D"/>
    <w:rsid w:val="00777E5E"/>
    <w:rsid w:val="007819D7"/>
    <w:rsid w:val="007830D5"/>
    <w:rsid w:val="00783E1E"/>
    <w:rsid w:val="007860E9"/>
    <w:rsid w:val="0078760B"/>
    <w:rsid w:val="00787913"/>
    <w:rsid w:val="00794D7D"/>
    <w:rsid w:val="0079563E"/>
    <w:rsid w:val="00795AB7"/>
    <w:rsid w:val="007967B0"/>
    <w:rsid w:val="00796B48"/>
    <w:rsid w:val="00796F8D"/>
    <w:rsid w:val="0079715D"/>
    <w:rsid w:val="007971FC"/>
    <w:rsid w:val="007A0115"/>
    <w:rsid w:val="007A095F"/>
    <w:rsid w:val="007A199C"/>
    <w:rsid w:val="007A3D45"/>
    <w:rsid w:val="007A754C"/>
    <w:rsid w:val="007A7FAA"/>
    <w:rsid w:val="007B019D"/>
    <w:rsid w:val="007B0493"/>
    <w:rsid w:val="007B0A25"/>
    <w:rsid w:val="007B46A3"/>
    <w:rsid w:val="007B582C"/>
    <w:rsid w:val="007B5F08"/>
    <w:rsid w:val="007B6BF3"/>
    <w:rsid w:val="007B6C68"/>
    <w:rsid w:val="007C0CFD"/>
    <w:rsid w:val="007C1BA7"/>
    <w:rsid w:val="007C7B39"/>
    <w:rsid w:val="007D0982"/>
    <w:rsid w:val="007D212A"/>
    <w:rsid w:val="007D3387"/>
    <w:rsid w:val="007D4A5B"/>
    <w:rsid w:val="007D51E1"/>
    <w:rsid w:val="007D74FA"/>
    <w:rsid w:val="007D7C8A"/>
    <w:rsid w:val="007E03AB"/>
    <w:rsid w:val="007E327A"/>
    <w:rsid w:val="007E3295"/>
    <w:rsid w:val="007E3FB9"/>
    <w:rsid w:val="007E59B3"/>
    <w:rsid w:val="007E7968"/>
    <w:rsid w:val="007E7B57"/>
    <w:rsid w:val="007F1774"/>
    <w:rsid w:val="007F2673"/>
    <w:rsid w:val="007F3203"/>
    <w:rsid w:val="007F3680"/>
    <w:rsid w:val="007F6769"/>
    <w:rsid w:val="008007D7"/>
    <w:rsid w:val="00801B23"/>
    <w:rsid w:val="0080461E"/>
    <w:rsid w:val="00806239"/>
    <w:rsid w:val="00806A12"/>
    <w:rsid w:val="00807127"/>
    <w:rsid w:val="00810D14"/>
    <w:rsid w:val="00812217"/>
    <w:rsid w:val="008125B9"/>
    <w:rsid w:val="00813583"/>
    <w:rsid w:val="00813B47"/>
    <w:rsid w:val="00814530"/>
    <w:rsid w:val="0082138F"/>
    <w:rsid w:val="00821E1A"/>
    <w:rsid w:val="00823814"/>
    <w:rsid w:val="00825CCF"/>
    <w:rsid w:val="00825FE7"/>
    <w:rsid w:val="0082618B"/>
    <w:rsid w:val="00826D62"/>
    <w:rsid w:val="00827843"/>
    <w:rsid w:val="008307C5"/>
    <w:rsid w:val="00830E5C"/>
    <w:rsid w:val="00831AA7"/>
    <w:rsid w:val="00833E19"/>
    <w:rsid w:val="00834252"/>
    <w:rsid w:val="00834329"/>
    <w:rsid w:val="00836269"/>
    <w:rsid w:val="00840260"/>
    <w:rsid w:val="00841233"/>
    <w:rsid w:val="0084238C"/>
    <w:rsid w:val="00842905"/>
    <w:rsid w:val="0084377E"/>
    <w:rsid w:val="00844194"/>
    <w:rsid w:val="008465FD"/>
    <w:rsid w:val="00847A4B"/>
    <w:rsid w:val="00851BF1"/>
    <w:rsid w:val="008542A1"/>
    <w:rsid w:val="00855406"/>
    <w:rsid w:val="00861B9A"/>
    <w:rsid w:val="008622A7"/>
    <w:rsid w:val="00862903"/>
    <w:rsid w:val="00866AB0"/>
    <w:rsid w:val="00866B94"/>
    <w:rsid w:val="008700DC"/>
    <w:rsid w:val="00870A23"/>
    <w:rsid w:val="00875519"/>
    <w:rsid w:val="00875BA5"/>
    <w:rsid w:val="008761DD"/>
    <w:rsid w:val="00876587"/>
    <w:rsid w:val="00876758"/>
    <w:rsid w:val="00876EA8"/>
    <w:rsid w:val="00877AA9"/>
    <w:rsid w:val="00880C2D"/>
    <w:rsid w:val="00884706"/>
    <w:rsid w:val="00884A06"/>
    <w:rsid w:val="00887BF1"/>
    <w:rsid w:val="008922E5"/>
    <w:rsid w:val="008925D3"/>
    <w:rsid w:val="008927EE"/>
    <w:rsid w:val="008957B9"/>
    <w:rsid w:val="00895D23"/>
    <w:rsid w:val="0089654A"/>
    <w:rsid w:val="008A0E76"/>
    <w:rsid w:val="008A17CF"/>
    <w:rsid w:val="008A1E17"/>
    <w:rsid w:val="008A294C"/>
    <w:rsid w:val="008A5675"/>
    <w:rsid w:val="008A676C"/>
    <w:rsid w:val="008A6B2C"/>
    <w:rsid w:val="008A71CB"/>
    <w:rsid w:val="008A7FAE"/>
    <w:rsid w:val="008B0630"/>
    <w:rsid w:val="008B1E80"/>
    <w:rsid w:val="008B2113"/>
    <w:rsid w:val="008B283A"/>
    <w:rsid w:val="008B4B87"/>
    <w:rsid w:val="008B5217"/>
    <w:rsid w:val="008B6C3C"/>
    <w:rsid w:val="008B6FE9"/>
    <w:rsid w:val="008B78AF"/>
    <w:rsid w:val="008C2996"/>
    <w:rsid w:val="008C3013"/>
    <w:rsid w:val="008C3047"/>
    <w:rsid w:val="008C4707"/>
    <w:rsid w:val="008C4ADA"/>
    <w:rsid w:val="008C5B1B"/>
    <w:rsid w:val="008C7812"/>
    <w:rsid w:val="008D1500"/>
    <w:rsid w:val="008D2744"/>
    <w:rsid w:val="008D2B12"/>
    <w:rsid w:val="008D6286"/>
    <w:rsid w:val="008D63B9"/>
    <w:rsid w:val="008D7E52"/>
    <w:rsid w:val="008E04AC"/>
    <w:rsid w:val="008E169A"/>
    <w:rsid w:val="008E1D12"/>
    <w:rsid w:val="008E2279"/>
    <w:rsid w:val="008E2F16"/>
    <w:rsid w:val="008E32DB"/>
    <w:rsid w:val="008E5536"/>
    <w:rsid w:val="008E57D4"/>
    <w:rsid w:val="008F0886"/>
    <w:rsid w:val="008F3EE8"/>
    <w:rsid w:val="008F4F95"/>
    <w:rsid w:val="008F655A"/>
    <w:rsid w:val="008F6BCC"/>
    <w:rsid w:val="008F76F3"/>
    <w:rsid w:val="008F7AA8"/>
    <w:rsid w:val="00900F61"/>
    <w:rsid w:val="009014AD"/>
    <w:rsid w:val="0090218B"/>
    <w:rsid w:val="00905641"/>
    <w:rsid w:val="00905D13"/>
    <w:rsid w:val="009062E7"/>
    <w:rsid w:val="00910C69"/>
    <w:rsid w:val="0091121A"/>
    <w:rsid w:val="00911ABF"/>
    <w:rsid w:val="0091218D"/>
    <w:rsid w:val="00912265"/>
    <w:rsid w:val="00913041"/>
    <w:rsid w:val="00915479"/>
    <w:rsid w:val="00915E88"/>
    <w:rsid w:val="00916596"/>
    <w:rsid w:val="00917776"/>
    <w:rsid w:val="009206C5"/>
    <w:rsid w:val="00922D76"/>
    <w:rsid w:val="00922E15"/>
    <w:rsid w:val="00923BFC"/>
    <w:rsid w:val="00924540"/>
    <w:rsid w:val="00926AEE"/>
    <w:rsid w:val="0093676B"/>
    <w:rsid w:val="00941117"/>
    <w:rsid w:val="009429F5"/>
    <w:rsid w:val="00943D10"/>
    <w:rsid w:val="00944CF7"/>
    <w:rsid w:val="00952A5A"/>
    <w:rsid w:val="00952EAA"/>
    <w:rsid w:val="0095528D"/>
    <w:rsid w:val="00956306"/>
    <w:rsid w:val="00956685"/>
    <w:rsid w:val="00957ED9"/>
    <w:rsid w:val="00960ECB"/>
    <w:rsid w:val="009616F7"/>
    <w:rsid w:val="00963374"/>
    <w:rsid w:val="009635A6"/>
    <w:rsid w:val="009718A1"/>
    <w:rsid w:val="0097199C"/>
    <w:rsid w:val="00971FFE"/>
    <w:rsid w:val="009727EC"/>
    <w:rsid w:val="009769B6"/>
    <w:rsid w:val="00976F35"/>
    <w:rsid w:val="00977382"/>
    <w:rsid w:val="00977B85"/>
    <w:rsid w:val="00984129"/>
    <w:rsid w:val="0098483E"/>
    <w:rsid w:val="0098638D"/>
    <w:rsid w:val="009871E5"/>
    <w:rsid w:val="00987729"/>
    <w:rsid w:val="009902C1"/>
    <w:rsid w:val="009922B7"/>
    <w:rsid w:val="009924E4"/>
    <w:rsid w:val="00995514"/>
    <w:rsid w:val="00996265"/>
    <w:rsid w:val="009A023C"/>
    <w:rsid w:val="009A0F30"/>
    <w:rsid w:val="009A0F96"/>
    <w:rsid w:val="009A108A"/>
    <w:rsid w:val="009A1F19"/>
    <w:rsid w:val="009A39B1"/>
    <w:rsid w:val="009A7450"/>
    <w:rsid w:val="009A79F5"/>
    <w:rsid w:val="009B0FD9"/>
    <w:rsid w:val="009B1930"/>
    <w:rsid w:val="009B1D73"/>
    <w:rsid w:val="009C40D3"/>
    <w:rsid w:val="009C60B9"/>
    <w:rsid w:val="009C6C5E"/>
    <w:rsid w:val="009D0F6B"/>
    <w:rsid w:val="009D1104"/>
    <w:rsid w:val="009D2097"/>
    <w:rsid w:val="009D2DBA"/>
    <w:rsid w:val="009D3F81"/>
    <w:rsid w:val="009D505C"/>
    <w:rsid w:val="009D52A5"/>
    <w:rsid w:val="009D54E0"/>
    <w:rsid w:val="009D6718"/>
    <w:rsid w:val="009D67E0"/>
    <w:rsid w:val="009D68F5"/>
    <w:rsid w:val="009D6BD2"/>
    <w:rsid w:val="009D7455"/>
    <w:rsid w:val="009E0017"/>
    <w:rsid w:val="009E055B"/>
    <w:rsid w:val="009E05AF"/>
    <w:rsid w:val="009E05BA"/>
    <w:rsid w:val="009E0AD0"/>
    <w:rsid w:val="009E193F"/>
    <w:rsid w:val="009E1A04"/>
    <w:rsid w:val="009E5779"/>
    <w:rsid w:val="009F00ED"/>
    <w:rsid w:val="009F101A"/>
    <w:rsid w:val="009F12F3"/>
    <w:rsid w:val="009F183C"/>
    <w:rsid w:val="009F58AE"/>
    <w:rsid w:val="009F5B2F"/>
    <w:rsid w:val="009F77A8"/>
    <w:rsid w:val="00A009D5"/>
    <w:rsid w:val="00A00C4A"/>
    <w:rsid w:val="00A0366A"/>
    <w:rsid w:val="00A04FC9"/>
    <w:rsid w:val="00A06151"/>
    <w:rsid w:val="00A11011"/>
    <w:rsid w:val="00A132C4"/>
    <w:rsid w:val="00A157C5"/>
    <w:rsid w:val="00A1797B"/>
    <w:rsid w:val="00A21346"/>
    <w:rsid w:val="00A221FC"/>
    <w:rsid w:val="00A22FE8"/>
    <w:rsid w:val="00A237D0"/>
    <w:rsid w:val="00A25AE1"/>
    <w:rsid w:val="00A25BE6"/>
    <w:rsid w:val="00A32669"/>
    <w:rsid w:val="00A36E38"/>
    <w:rsid w:val="00A37B28"/>
    <w:rsid w:val="00A37BEE"/>
    <w:rsid w:val="00A37EBA"/>
    <w:rsid w:val="00A37F77"/>
    <w:rsid w:val="00A4018B"/>
    <w:rsid w:val="00A40545"/>
    <w:rsid w:val="00A41CE1"/>
    <w:rsid w:val="00A41D00"/>
    <w:rsid w:val="00A433B5"/>
    <w:rsid w:val="00A434E2"/>
    <w:rsid w:val="00A44675"/>
    <w:rsid w:val="00A451FD"/>
    <w:rsid w:val="00A47FCC"/>
    <w:rsid w:val="00A503A6"/>
    <w:rsid w:val="00A50871"/>
    <w:rsid w:val="00A516A8"/>
    <w:rsid w:val="00A51A4E"/>
    <w:rsid w:val="00A52EF2"/>
    <w:rsid w:val="00A54EE4"/>
    <w:rsid w:val="00A54EEA"/>
    <w:rsid w:val="00A605C6"/>
    <w:rsid w:val="00A60875"/>
    <w:rsid w:val="00A61C61"/>
    <w:rsid w:val="00A61ED4"/>
    <w:rsid w:val="00A63771"/>
    <w:rsid w:val="00A63923"/>
    <w:rsid w:val="00A63E0B"/>
    <w:rsid w:val="00A64BEC"/>
    <w:rsid w:val="00A65D8C"/>
    <w:rsid w:val="00A717CB"/>
    <w:rsid w:val="00A72B79"/>
    <w:rsid w:val="00A72BB2"/>
    <w:rsid w:val="00A740CD"/>
    <w:rsid w:val="00A746E3"/>
    <w:rsid w:val="00A756CB"/>
    <w:rsid w:val="00A76B99"/>
    <w:rsid w:val="00A77184"/>
    <w:rsid w:val="00A77A9C"/>
    <w:rsid w:val="00A77C55"/>
    <w:rsid w:val="00A80283"/>
    <w:rsid w:val="00A81072"/>
    <w:rsid w:val="00A81A64"/>
    <w:rsid w:val="00A81B14"/>
    <w:rsid w:val="00A82CC7"/>
    <w:rsid w:val="00A82D8A"/>
    <w:rsid w:val="00A82F7B"/>
    <w:rsid w:val="00A83241"/>
    <w:rsid w:val="00A86DAE"/>
    <w:rsid w:val="00A9068A"/>
    <w:rsid w:val="00A907F0"/>
    <w:rsid w:val="00A93D26"/>
    <w:rsid w:val="00A964B9"/>
    <w:rsid w:val="00AA27FA"/>
    <w:rsid w:val="00AA48C2"/>
    <w:rsid w:val="00AA4D64"/>
    <w:rsid w:val="00AA79BA"/>
    <w:rsid w:val="00AA7A6E"/>
    <w:rsid w:val="00AB1019"/>
    <w:rsid w:val="00AB2407"/>
    <w:rsid w:val="00AB3546"/>
    <w:rsid w:val="00AB4199"/>
    <w:rsid w:val="00AB458F"/>
    <w:rsid w:val="00AB46E2"/>
    <w:rsid w:val="00AB4BAB"/>
    <w:rsid w:val="00AB5A20"/>
    <w:rsid w:val="00AC1EC1"/>
    <w:rsid w:val="00AC5BF9"/>
    <w:rsid w:val="00AD061C"/>
    <w:rsid w:val="00AD07AF"/>
    <w:rsid w:val="00AD1242"/>
    <w:rsid w:val="00AD45F8"/>
    <w:rsid w:val="00AD4CF3"/>
    <w:rsid w:val="00AD5A15"/>
    <w:rsid w:val="00AD6B85"/>
    <w:rsid w:val="00AD72ED"/>
    <w:rsid w:val="00AD7D51"/>
    <w:rsid w:val="00AD7D6C"/>
    <w:rsid w:val="00AE4811"/>
    <w:rsid w:val="00AE5AED"/>
    <w:rsid w:val="00AE63C6"/>
    <w:rsid w:val="00AE6DB4"/>
    <w:rsid w:val="00AE7D08"/>
    <w:rsid w:val="00AF02FF"/>
    <w:rsid w:val="00AF0873"/>
    <w:rsid w:val="00AF4F0B"/>
    <w:rsid w:val="00AF73D0"/>
    <w:rsid w:val="00AF7B52"/>
    <w:rsid w:val="00AF7EB2"/>
    <w:rsid w:val="00B00A28"/>
    <w:rsid w:val="00B00AD4"/>
    <w:rsid w:val="00B0123B"/>
    <w:rsid w:val="00B0504C"/>
    <w:rsid w:val="00B051AC"/>
    <w:rsid w:val="00B07F3B"/>
    <w:rsid w:val="00B112A6"/>
    <w:rsid w:val="00B1160C"/>
    <w:rsid w:val="00B11888"/>
    <w:rsid w:val="00B11952"/>
    <w:rsid w:val="00B134CC"/>
    <w:rsid w:val="00B20646"/>
    <w:rsid w:val="00B20A9B"/>
    <w:rsid w:val="00B21657"/>
    <w:rsid w:val="00B21719"/>
    <w:rsid w:val="00B2380D"/>
    <w:rsid w:val="00B2443C"/>
    <w:rsid w:val="00B24FF0"/>
    <w:rsid w:val="00B32428"/>
    <w:rsid w:val="00B33090"/>
    <w:rsid w:val="00B344E7"/>
    <w:rsid w:val="00B35F89"/>
    <w:rsid w:val="00B37270"/>
    <w:rsid w:val="00B37762"/>
    <w:rsid w:val="00B406CC"/>
    <w:rsid w:val="00B40AB3"/>
    <w:rsid w:val="00B424EA"/>
    <w:rsid w:val="00B440E3"/>
    <w:rsid w:val="00B50438"/>
    <w:rsid w:val="00B50C0E"/>
    <w:rsid w:val="00B513BD"/>
    <w:rsid w:val="00B5598D"/>
    <w:rsid w:val="00B61F44"/>
    <w:rsid w:val="00B62F23"/>
    <w:rsid w:val="00B6337C"/>
    <w:rsid w:val="00B64B32"/>
    <w:rsid w:val="00B67C18"/>
    <w:rsid w:val="00B720F3"/>
    <w:rsid w:val="00B73A88"/>
    <w:rsid w:val="00B76840"/>
    <w:rsid w:val="00B77779"/>
    <w:rsid w:val="00B777BA"/>
    <w:rsid w:val="00B80B54"/>
    <w:rsid w:val="00B80BB8"/>
    <w:rsid w:val="00B81E56"/>
    <w:rsid w:val="00B838B0"/>
    <w:rsid w:val="00B851CF"/>
    <w:rsid w:val="00B85BBC"/>
    <w:rsid w:val="00B907BF"/>
    <w:rsid w:val="00B9088C"/>
    <w:rsid w:val="00B90DC8"/>
    <w:rsid w:val="00B91AD0"/>
    <w:rsid w:val="00B9419A"/>
    <w:rsid w:val="00B942D8"/>
    <w:rsid w:val="00B967EE"/>
    <w:rsid w:val="00B97868"/>
    <w:rsid w:val="00BA0093"/>
    <w:rsid w:val="00BA1CF2"/>
    <w:rsid w:val="00BA1FB9"/>
    <w:rsid w:val="00BA2036"/>
    <w:rsid w:val="00BA35CA"/>
    <w:rsid w:val="00BA78AE"/>
    <w:rsid w:val="00BB19CC"/>
    <w:rsid w:val="00BB5066"/>
    <w:rsid w:val="00BB56E7"/>
    <w:rsid w:val="00BB5CF2"/>
    <w:rsid w:val="00BB65A9"/>
    <w:rsid w:val="00BC0F77"/>
    <w:rsid w:val="00BC1A77"/>
    <w:rsid w:val="00BC2562"/>
    <w:rsid w:val="00BC30EB"/>
    <w:rsid w:val="00BC35E5"/>
    <w:rsid w:val="00BC37AF"/>
    <w:rsid w:val="00BC4209"/>
    <w:rsid w:val="00BC4450"/>
    <w:rsid w:val="00BC654E"/>
    <w:rsid w:val="00BC79F0"/>
    <w:rsid w:val="00BD0CC0"/>
    <w:rsid w:val="00BD1A76"/>
    <w:rsid w:val="00BD1F84"/>
    <w:rsid w:val="00BD448E"/>
    <w:rsid w:val="00BD4D83"/>
    <w:rsid w:val="00BD4DC6"/>
    <w:rsid w:val="00BD5F46"/>
    <w:rsid w:val="00BD61D1"/>
    <w:rsid w:val="00BD7DBD"/>
    <w:rsid w:val="00BE0841"/>
    <w:rsid w:val="00BE1115"/>
    <w:rsid w:val="00BE17E4"/>
    <w:rsid w:val="00BE1A1E"/>
    <w:rsid w:val="00BE1B04"/>
    <w:rsid w:val="00BE2A70"/>
    <w:rsid w:val="00BE2CEB"/>
    <w:rsid w:val="00BE2E41"/>
    <w:rsid w:val="00BE328B"/>
    <w:rsid w:val="00BE4B4A"/>
    <w:rsid w:val="00BE60C9"/>
    <w:rsid w:val="00BF2B65"/>
    <w:rsid w:val="00BF4C47"/>
    <w:rsid w:val="00BF5195"/>
    <w:rsid w:val="00BF52F0"/>
    <w:rsid w:val="00C01045"/>
    <w:rsid w:val="00C03DA6"/>
    <w:rsid w:val="00C03F3C"/>
    <w:rsid w:val="00C048AE"/>
    <w:rsid w:val="00C06E89"/>
    <w:rsid w:val="00C109E1"/>
    <w:rsid w:val="00C11365"/>
    <w:rsid w:val="00C115DB"/>
    <w:rsid w:val="00C1394F"/>
    <w:rsid w:val="00C13F2D"/>
    <w:rsid w:val="00C14EE0"/>
    <w:rsid w:val="00C1554B"/>
    <w:rsid w:val="00C158A9"/>
    <w:rsid w:val="00C1600B"/>
    <w:rsid w:val="00C162E1"/>
    <w:rsid w:val="00C16AAE"/>
    <w:rsid w:val="00C176ED"/>
    <w:rsid w:val="00C20821"/>
    <w:rsid w:val="00C20947"/>
    <w:rsid w:val="00C221A6"/>
    <w:rsid w:val="00C22F8C"/>
    <w:rsid w:val="00C23381"/>
    <w:rsid w:val="00C2358A"/>
    <w:rsid w:val="00C23702"/>
    <w:rsid w:val="00C23FA0"/>
    <w:rsid w:val="00C24E5A"/>
    <w:rsid w:val="00C24F04"/>
    <w:rsid w:val="00C25EE7"/>
    <w:rsid w:val="00C3626B"/>
    <w:rsid w:val="00C362FF"/>
    <w:rsid w:val="00C36849"/>
    <w:rsid w:val="00C37EAE"/>
    <w:rsid w:val="00C408EC"/>
    <w:rsid w:val="00C4330C"/>
    <w:rsid w:val="00C44752"/>
    <w:rsid w:val="00C45A87"/>
    <w:rsid w:val="00C46EE9"/>
    <w:rsid w:val="00C522B1"/>
    <w:rsid w:val="00C56AFE"/>
    <w:rsid w:val="00C5723C"/>
    <w:rsid w:val="00C57CD0"/>
    <w:rsid w:val="00C6302E"/>
    <w:rsid w:val="00C64080"/>
    <w:rsid w:val="00C6434A"/>
    <w:rsid w:val="00C665B0"/>
    <w:rsid w:val="00C66FF2"/>
    <w:rsid w:val="00C67A0C"/>
    <w:rsid w:val="00C67CFD"/>
    <w:rsid w:val="00C705F6"/>
    <w:rsid w:val="00C716D8"/>
    <w:rsid w:val="00C73055"/>
    <w:rsid w:val="00C73364"/>
    <w:rsid w:val="00C74574"/>
    <w:rsid w:val="00C770F5"/>
    <w:rsid w:val="00C77AC1"/>
    <w:rsid w:val="00C81211"/>
    <w:rsid w:val="00C81281"/>
    <w:rsid w:val="00C819CB"/>
    <w:rsid w:val="00C83BDE"/>
    <w:rsid w:val="00C856A5"/>
    <w:rsid w:val="00C862BE"/>
    <w:rsid w:val="00C93482"/>
    <w:rsid w:val="00C9387E"/>
    <w:rsid w:val="00C95669"/>
    <w:rsid w:val="00CA0A0B"/>
    <w:rsid w:val="00CA205C"/>
    <w:rsid w:val="00CA5AEC"/>
    <w:rsid w:val="00CA6682"/>
    <w:rsid w:val="00CB0FF3"/>
    <w:rsid w:val="00CB15FE"/>
    <w:rsid w:val="00CB1FB6"/>
    <w:rsid w:val="00CB2154"/>
    <w:rsid w:val="00CB3D6A"/>
    <w:rsid w:val="00CB4810"/>
    <w:rsid w:val="00CC1765"/>
    <w:rsid w:val="00CC2464"/>
    <w:rsid w:val="00CC2A44"/>
    <w:rsid w:val="00CC4CD1"/>
    <w:rsid w:val="00CC57F5"/>
    <w:rsid w:val="00CC79CD"/>
    <w:rsid w:val="00CD1DD8"/>
    <w:rsid w:val="00CE039C"/>
    <w:rsid w:val="00CE0A7B"/>
    <w:rsid w:val="00CE145E"/>
    <w:rsid w:val="00CE60C4"/>
    <w:rsid w:val="00CF0665"/>
    <w:rsid w:val="00CF1001"/>
    <w:rsid w:val="00CF341D"/>
    <w:rsid w:val="00CF3AC1"/>
    <w:rsid w:val="00CF529D"/>
    <w:rsid w:val="00CF6B94"/>
    <w:rsid w:val="00CF7F6A"/>
    <w:rsid w:val="00D0141D"/>
    <w:rsid w:val="00D049D4"/>
    <w:rsid w:val="00D05524"/>
    <w:rsid w:val="00D057A1"/>
    <w:rsid w:val="00D1040E"/>
    <w:rsid w:val="00D11ADD"/>
    <w:rsid w:val="00D11F76"/>
    <w:rsid w:val="00D12563"/>
    <w:rsid w:val="00D12AB2"/>
    <w:rsid w:val="00D13D49"/>
    <w:rsid w:val="00D15D9B"/>
    <w:rsid w:val="00D21663"/>
    <w:rsid w:val="00D248A7"/>
    <w:rsid w:val="00D25A9F"/>
    <w:rsid w:val="00D27670"/>
    <w:rsid w:val="00D311B5"/>
    <w:rsid w:val="00D32CF9"/>
    <w:rsid w:val="00D32F9B"/>
    <w:rsid w:val="00D36E71"/>
    <w:rsid w:val="00D37C77"/>
    <w:rsid w:val="00D37E0F"/>
    <w:rsid w:val="00D40F9C"/>
    <w:rsid w:val="00D4130C"/>
    <w:rsid w:val="00D413C6"/>
    <w:rsid w:val="00D430B5"/>
    <w:rsid w:val="00D43694"/>
    <w:rsid w:val="00D43D01"/>
    <w:rsid w:val="00D4435B"/>
    <w:rsid w:val="00D44D1A"/>
    <w:rsid w:val="00D50359"/>
    <w:rsid w:val="00D504AE"/>
    <w:rsid w:val="00D513DE"/>
    <w:rsid w:val="00D51415"/>
    <w:rsid w:val="00D51C5E"/>
    <w:rsid w:val="00D52A5C"/>
    <w:rsid w:val="00D603DB"/>
    <w:rsid w:val="00D613D1"/>
    <w:rsid w:val="00D615C3"/>
    <w:rsid w:val="00D61EB9"/>
    <w:rsid w:val="00D622CD"/>
    <w:rsid w:val="00D7029C"/>
    <w:rsid w:val="00D70335"/>
    <w:rsid w:val="00D71BBE"/>
    <w:rsid w:val="00D72A0F"/>
    <w:rsid w:val="00D749C7"/>
    <w:rsid w:val="00D773D0"/>
    <w:rsid w:val="00D7766F"/>
    <w:rsid w:val="00D81A25"/>
    <w:rsid w:val="00D82DA9"/>
    <w:rsid w:val="00D864ED"/>
    <w:rsid w:val="00D871BD"/>
    <w:rsid w:val="00D87299"/>
    <w:rsid w:val="00D9155A"/>
    <w:rsid w:val="00D92270"/>
    <w:rsid w:val="00D9277B"/>
    <w:rsid w:val="00D943E0"/>
    <w:rsid w:val="00D94F6F"/>
    <w:rsid w:val="00D96F06"/>
    <w:rsid w:val="00DA0723"/>
    <w:rsid w:val="00DA0DC9"/>
    <w:rsid w:val="00DA2CA0"/>
    <w:rsid w:val="00DA309A"/>
    <w:rsid w:val="00DA338D"/>
    <w:rsid w:val="00DA3686"/>
    <w:rsid w:val="00DA4A59"/>
    <w:rsid w:val="00DA52A0"/>
    <w:rsid w:val="00DA5756"/>
    <w:rsid w:val="00DA6890"/>
    <w:rsid w:val="00DB1080"/>
    <w:rsid w:val="00DB1544"/>
    <w:rsid w:val="00DB3AB8"/>
    <w:rsid w:val="00DB40A6"/>
    <w:rsid w:val="00DB4C4E"/>
    <w:rsid w:val="00DB51E4"/>
    <w:rsid w:val="00DB746B"/>
    <w:rsid w:val="00DC0360"/>
    <w:rsid w:val="00DC0EB1"/>
    <w:rsid w:val="00DC329E"/>
    <w:rsid w:val="00DC32A0"/>
    <w:rsid w:val="00DC32EE"/>
    <w:rsid w:val="00DC5948"/>
    <w:rsid w:val="00DD0110"/>
    <w:rsid w:val="00DD0D15"/>
    <w:rsid w:val="00DD17C3"/>
    <w:rsid w:val="00DD3ADB"/>
    <w:rsid w:val="00DD535B"/>
    <w:rsid w:val="00DD5C07"/>
    <w:rsid w:val="00DD5D03"/>
    <w:rsid w:val="00DD6B83"/>
    <w:rsid w:val="00DD74BA"/>
    <w:rsid w:val="00DE0216"/>
    <w:rsid w:val="00DE326F"/>
    <w:rsid w:val="00DE46EF"/>
    <w:rsid w:val="00DE4785"/>
    <w:rsid w:val="00DE660A"/>
    <w:rsid w:val="00DE789C"/>
    <w:rsid w:val="00DF1102"/>
    <w:rsid w:val="00DF3823"/>
    <w:rsid w:val="00DF523E"/>
    <w:rsid w:val="00DF5DD3"/>
    <w:rsid w:val="00DF689D"/>
    <w:rsid w:val="00E0092C"/>
    <w:rsid w:val="00E0096E"/>
    <w:rsid w:val="00E05A27"/>
    <w:rsid w:val="00E0603A"/>
    <w:rsid w:val="00E06369"/>
    <w:rsid w:val="00E06D82"/>
    <w:rsid w:val="00E103C5"/>
    <w:rsid w:val="00E10937"/>
    <w:rsid w:val="00E10CE3"/>
    <w:rsid w:val="00E110B9"/>
    <w:rsid w:val="00E11600"/>
    <w:rsid w:val="00E124FB"/>
    <w:rsid w:val="00E14763"/>
    <w:rsid w:val="00E17247"/>
    <w:rsid w:val="00E178AD"/>
    <w:rsid w:val="00E17A9C"/>
    <w:rsid w:val="00E213AF"/>
    <w:rsid w:val="00E21B60"/>
    <w:rsid w:val="00E2353B"/>
    <w:rsid w:val="00E242D2"/>
    <w:rsid w:val="00E27BA6"/>
    <w:rsid w:val="00E27E0A"/>
    <w:rsid w:val="00E321C6"/>
    <w:rsid w:val="00E33ED4"/>
    <w:rsid w:val="00E34245"/>
    <w:rsid w:val="00E3644D"/>
    <w:rsid w:val="00E366E1"/>
    <w:rsid w:val="00E37FFE"/>
    <w:rsid w:val="00E42AF4"/>
    <w:rsid w:val="00E4387C"/>
    <w:rsid w:val="00E50098"/>
    <w:rsid w:val="00E51A76"/>
    <w:rsid w:val="00E52E4E"/>
    <w:rsid w:val="00E563A9"/>
    <w:rsid w:val="00E57431"/>
    <w:rsid w:val="00E57EF4"/>
    <w:rsid w:val="00E6084D"/>
    <w:rsid w:val="00E60BF7"/>
    <w:rsid w:val="00E61655"/>
    <w:rsid w:val="00E61B59"/>
    <w:rsid w:val="00E627AB"/>
    <w:rsid w:val="00E62977"/>
    <w:rsid w:val="00E62EEB"/>
    <w:rsid w:val="00E631A1"/>
    <w:rsid w:val="00E654A1"/>
    <w:rsid w:val="00E66DE1"/>
    <w:rsid w:val="00E67F72"/>
    <w:rsid w:val="00E735C1"/>
    <w:rsid w:val="00E81D86"/>
    <w:rsid w:val="00E86D47"/>
    <w:rsid w:val="00E9011B"/>
    <w:rsid w:val="00E9098F"/>
    <w:rsid w:val="00E9149A"/>
    <w:rsid w:val="00E92C21"/>
    <w:rsid w:val="00E93DDC"/>
    <w:rsid w:val="00E9485A"/>
    <w:rsid w:val="00E95C0E"/>
    <w:rsid w:val="00E95D10"/>
    <w:rsid w:val="00E96C21"/>
    <w:rsid w:val="00E9791B"/>
    <w:rsid w:val="00EA1117"/>
    <w:rsid w:val="00EA1161"/>
    <w:rsid w:val="00EA13AA"/>
    <w:rsid w:val="00EA2BFA"/>
    <w:rsid w:val="00EA4322"/>
    <w:rsid w:val="00EA5D49"/>
    <w:rsid w:val="00EA5FC0"/>
    <w:rsid w:val="00EA7D51"/>
    <w:rsid w:val="00EB0D65"/>
    <w:rsid w:val="00EB1BFB"/>
    <w:rsid w:val="00EB5F27"/>
    <w:rsid w:val="00EC157A"/>
    <w:rsid w:val="00EC1822"/>
    <w:rsid w:val="00EC3E48"/>
    <w:rsid w:val="00EC4FB9"/>
    <w:rsid w:val="00ED0B03"/>
    <w:rsid w:val="00ED6801"/>
    <w:rsid w:val="00ED6BB4"/>
    <w:rsid w:val="00EE094B"/>
    <w:rsid w:val="00EE0BBD"/>
    <w:rsid w:val="00EE2C94"/>
    <w:rsid w:val="00EE3930"/>
    <w:rsid w:val="00EF154E"/>
    <w:rsid w:val="00EF20D0"/>
    <w:rsid w:val="00EF3060"/>
    <w:rsid w:val="00EF4B20"/>
    <w:rsid w:val="00EF4EE4"/>
    <w:rsid w:val="00EF6BAF"/>
    <w:rsid w:val="00F00D5D"/>
    <w:rsid w:val="00F03984"/>
    <w:rsid w:val="00F04898"/>
    <w:rsid w:val="00F05D7C"/>
    <w:rsid w:val="00F06AC0"/>
    <w:rsid w:val="00F138A8"/>
    <w:rsid w:val="00F161B4"/>
    <w:rsid w:val="00F24CD0"/>
    <w:rsid w:val="00F24E97"/>
    <w:rsid w:val="00F2553F"/>
    <w:rsid w:val="00F259FC"/>
    <w:rsid w:val="00F264B1"/>
    <w:rsid w:val="00F26561"/>
    <w:rsid w:val="00F26A52"/>
    <w:rsid w:val="00F313F5"/>
    <w:rsid w:val="00F317F1"/>
    <w:rsid w:val="00F35482"/>
    <w:rsid w:val="00F35942"/>
    <w:rsid w:val="00F35ADB"/>
    <w:rsid w:val="00F3660F"/>
    <w:rsid w:val="00F36F8F"/>
    <w:rsid w:val="00F41A95"/>
    <w:rsid w:val="00F4693E"/>
    <w:rsid w:val="00F470DE"/>
    <w:rsid w:val="00F477AE"/>
    <w:rsid w:val="00F47A7A"/>
    <w:rsid w:val="00F51214"/>
    <w:rsid w:val="00F51ABC"/>
    <w:rsid w:val="00F53096"/>
    <w:rsid w:val="00F567FE"/>
    <w:rsid w:val="00F572CC"/>
    <w:rsid w:val="00F57A81"/>
    <w:rsid w:val="00F603C5"/>
    <w:rsid w:val="00F6261A"/>
    <w:rsid w:val="00F62D23"/>
    <w:rsid w:val="00F63F41"/>
    <w:rsid w:val="00F64338"/>
    <w:rsid w:val="00F647F5"/>
    <w:rsid w:val="00F6695D"/>
    <w:rsid w:val="00F67647"/>
    <w:rsid w:val="00F70125"/>
    <w:rsid w:val="00F71388"/>
    <w:rsid w:val="00F72D82"/>
    <w:rsid w:val="00F73681"/>
    <w:rsid w:val="00F75A99"/>
    <w:rsid w:val="00F833C8"/>
    <w:rsid w:val="00F87A57"/>
    <w:rsid w:val="00F92558"/>
    <w:rsid w:val="00F9292E"/>
    <w:rsid w:val="00F92BA2"/>
    <w:rsid w:val="00F94847"/>
    <w:rsid w:val="00FA00DA"/>
    <w:rsid w:val="00FA0BB9"/>
    <w:rsid w:val="00FA1B0E"/>
    <w:rsid w:val="00FA1C1E"/>
    <w:rsid w:val="00FA308D"/>
    <w:rsid w:val="00FA309E"/>
    <w:rsid w:val="00FA3A8E"/>
    <w:rsid w:val="00FA564C"/>
    <w:rsid w:val="00FA5B29"/>
    <w:rsid w:val="00FA618E"/>
    <w:rsid w:val="00FB0AB5"/>
    <w:rsid w:val="00FB1B96"/>
    <w:rsid w:val="00FB588B"/>
    <w:rsid w:val="00FC349F"/>
    <w:rsid w:val="00FC6AE7"/>
    <w:rsid w:val="00FC6FA8"/>
    <w:rsid w:val="00FC77FB"/>
    <w:rsid w:val="00FC7F2C"/>
    <w:rsid w:val="00FD14DB"/>
    <w:rsid w:val="00FD49F3"/>
    <w:rsid w:val="00FD6865"/>
    <w:rsid w:val="00FD7CC9"/>
    <w:rsid w:val="00FD7F92"/>
    <w:rsid w:val="00FE1D1A"/>
    <w:rsid w:val="00FE255A"/>
    <w:rsid w:val="00FE28EE"/>
    <w:rsid w:val="00FE43D3"/>
    <w:rsid w:val="00FE6632"/>
    <w:rsid w:val="00FE74EB"/>
    <w:rsid w:val="00FE7884"/>
    <w:rsid w:val="00FF1069"/>
    <w:rsid w:val="00FF389A"/>
    <w:rsid w:val="00FF3A98"/>
    <w:rsid w:val="00FF5115"/>
    <w:rsid w:val="00FF595F"/>
    <w:rsid w:val="00FF6B73"/>
    <w:rsid w:val="00FF7DE4"/>
    <w:rsid w:val="014458FB"/>
    <w:rsid w:val="01D36F0F"/>
    <w:rsid w:val="01E435F1"/>
    <w:rsid w:val="02012401"/>
    <w:rsid w:val="023836F3"/>
    <w:rsid w:val="03206541"/>
    <w:rsid w:val="038C57CF"/>
    <w:rsid w:val="03F528BA"/>
    <w:rsid w:val="04AB6B74"/>
    <w:rsid w:val="053A4B8A"/>
    <w:rsid w:val="05814E66"/>
    <w:rsid w:val="05B63A35"/>
    <w:rsid w:val="05BF2541"/>
    <w:rsid w:val="061A01E9"/>
    <w:rsid w:val="06B23472"/>
    <w:rsid w:val="06CF273A"/>
    <w:rsid w:val="07E37889"/>
    <w:rsid w:val="08210AEE"/>
    <w:rsid w:val="08311C48"/>
    <w:rsid w:val="08AD3EE0"/>
    <w:rsid w:val="08CB74A8"/>
    <w:rsid w:val="091301D1"/>
    <w:rsid w:val="095709C1"/>
    <w:rsid w:val="0A3270E7"/>
    <w:rsid w:val="0ACD600D"/>
    <w:rsid w:val="0B6B1F8A"/>
    <w:rsid w:val="0B744522"/>
    <w:rsid w:val="0B8A0F45"/>
    <w:rsid w:val="0B9E289A"/>
    <w:rsid w:val="0BCE7758"/>
    <w:rsid w:val="0C346325"/>
    <w:rsid w:val="0C7622D6"/>
    <w:rsid w:val="0CDF6C42"/>
    <w:rsid w:val="0D3F0C93"/>
    <w:rsid w:val="0D885F0E"/>
    <w:rsid w:val="0DBD2FC4"/>
    <w:rsid w:val="0E553843"/>
    <w:rsid w:val="0E7A0D1A"/>
    <w:rsid w:val="0EBF0E49"/>
    <w:rsid w:val="0EF45341"/>
    <w:rsid w:val="0F2A6837"/>
    <w:rsid w:val="0FA447BD"/>
    <w:rsid w:val="107A3C99"/>
    <w:rsid w:val="10834A6B"/>
    <w:rsid w:val="11A41A3D"/>
    <w:rsid w:val="11D33581"/>
    <w:rsid w:val="12815531"/>
    <w:rsid w:val="12EA5CB0"/>
    <w:rsid w:val="143258B1"/>
    <w:rsid w:val="14487DD8"/>
    <w:rsid w:val="14832AFD"/>
    <w:rsid w:val="14B9481E"/>
    <w:rsid w:val="1512563E"/>
    <w:rsid w:val="154E09FD"/>
    <w:rsid w:val="15501197"/>
    <w:rsid w:val="15586460"/>
    <w:rsid w:val="158B6450"/>
    <w:rsid w:val="15B714BB"/>
    <w:rsid w:val="160D2B73"/>
    <w:rsid w:val="185577BE"/>
    <w:rsid w:val="18E04F86"/>
    <w:rsid w:val="194A61C1"/>
    <w:rsid w:val="19C75C91"/>
    <w:rsid w:val="1AD50BB3"/>
    <w:rsid w:val="1AD83695"/>
    <w:rsid w:val="1B58550B"/>
    <w:rsid w:val="1B7029AF"/>
    <w:rsid w:val="1BAA041F"/>
    <w:rsid w:val="1C775775"/>
    <w:rsid w:val="1C7A6F5B"/>
    <w:rsid w:val="1C9761EC"/>
    <w:rsid w:val="1D144B8A"/>
    <w:rsid w:val="1D6C6E2D"/>
    <w:rsid w:val="1DB178B7"/>
    <w:rsid w:val="1FB915C2"/>
    <w:rsid w:val="20A27E4D"/>
    <w:rsid w:val="20B112D7"/>
    <w:rsid w:val="20DB34F8"/>
    <w:rsid w:val="20E33AE0"/>
    <w:rsid w:val="21677AB3"/>
    <w:rsid w:val="218B2297"/>
    <w:rsid w:val="21EE2720"/>
    <w:rsid w:val="22172400"/>
    <w:rsid w:val="2221777E"/>
    <w:rsid w:val="2299758C"/>
    <w:rsid w:val="22A806F4"/>
    <w:rsid w:val="23420A90"/>
    <w:rsid w:val="23740FB2"/>
    <w:rsid w:val="24923704"/>
    <w:rsid w:val="249366FA"/>
    <w:rsid w:val="24A9615A"/>
    <w:rsid w:val="25197A41"/>
    <w:rsid w:val="251A66D7"/>
    <w:rsid w:val="2679710D"/>
    <w:rsid w:val="267D0EFB"/>
    <w:rsid w:val="27AB19CF"/>
    <w:rsid w:val="28AC105F"/>
    <w:rsid w:val="28F141F7"/>
    <w:rsid w:val="292C7D1F"/>
    <w:rsid w:val="294E0B64"/>
    <w:rsid w:val="2A3D32DB"/>
    <w:rsid w:val="2B270DFE"/>
    <w:rsid w:val="2B534337"/>
    <w:rsid w:val="2B994802"/>
    <w:rsid w:val="2BA77B7A"/>
    <w:rsid w:val="2BC8659B"/>
    <w:rsid w:val="2CA51FCF"/>
    <w:rsid w:val="2CDB73C5"/>
    <w:rsid w:val="2E602CC1"/>
    <w:rsid w:val="2F040CA8"/>
    <w:rsid w:val="2FC93751"/>
    <w:rsid w:val="2FDC4170"/>
    <w:rsid w:val="2FED669A"/>
    <w:rsid w:val="30100E59"/>
    <w:rsid w:val="30294ABB"/>
    <w:rsid w:val="30452D08"/>
    <w:rsid w:val="307B0568"/>
    <w:rsid w:val="30966BD1"/>
    <w:rsid w:val="3145046D"/>
    <w:rsid w:val="32361D92"/>
    <w:rsid w:val="324F6BFF"/>
    <w:rsid w:val="327132D3"/>
    <w:rsid w:val="33201052"/>
    <w:rsid w:val="332E6C6B"/>
    <w:rsid w:val="3362112D"/>
    <w:rsid w:val="34170D5D"/>
    <w:rsid w:val="34736A13"/>
    <w:rsid w:val="347E54CB"/>
    <w:rsid w:val="34BB0F7F"/>
    <w:rsid w:val="34E46532"/>
    <w:rsid w:val="358E2D6A"/>
    <w:rsid w:val="35E74291"/>
    <w:rsid w:val="36474487"/>
    <w:rsid w:val="36552396"/>
    <w:rsid w:val="37422399"/>
    <w:rsid w:val="37642C72"/>
    <w:rsid w:val="37EC2065"/>
    <w:rsid w:val="38EC25E5"/>
    <w:rsid w:val="3A0614A6"/>
    <w:rsid w:val="3A2C3293"/>
    <w:rsid w:val="3B173576"/>
    <w:rsid w:val="3B834C6F"/>
    <w:rsid w:val="3B947823"/>
    <w:rsid w:val="3B9F69E5"/>
    <w:rsid w:val="3BD1108A"/>
    <w:rsid w:val="3D06733E"/>
    <w:rsid w:val="3D724CE0"/>
    <w:rsid w:val="3E455B0F"/>
    <w:rsid w:val="3EE65D76"/>
    <w:rsid w:val="3F7B3321"/>
    <w:rsid w:val="3F9E2FCE"/>
    <w:rsid w:val="40661C5E"/>
    <w:rsid w:val="40706371"/>
    <w:rsid w:val="40C90E47"/>
    <w:rsid w:val="41D55C2A"/>
    <w:rsid w:val="425C6E95"/>
    <w:rsid w:val="42674779"/>
    <w:rsid w:val="426D4A5B"/>
    <w:rsid w:val="432E682C"/>
    <w:rsid w:val="435D1922"/>
    <w:rsid w:val="436461B7"/>
    <w:rsid w:val="43C64EEC"/>
    <w:rsid w:val="4427071D"/>
    <w:rsid w:val="445030A1"/>
    <w:rsid w:val="44B92901"/>
    <w:rsid w:val="44E51867"/>
    <w:rsid w:val="44F634BC"/>
    <w:rsid w:val="44F86B31"/>
    <w:rsid w:val="45B02DE2"/>
    <w:rsid w:val="46193548"/>
    <w:rsid w:val="464D40CC"/>
    <w:rsid w:val="47E80E4D"/>
    <w:rsid w:val="48960C2C"/>
    <w:rsid w:val="48C0275B"/>
    <w:rsid w:val="48CB18C1"/>
    <w:rsid w:val="4B725EC5"/>
    <w:rsid w:val="4BD0771E"/>
    <w:rsid w:val="4D0F3245"/>
    <w:rsid w:val="4D3A1B56"/>
    <w:rsid w:val="4D3A1E2A"/>
    <w:rsid w:val="4D746A91"/>
    <w:rsid w:val="4DFE6FB4"/>
    <w:rsid w:val="4E006F0F"/>
    <w:rsid w:val="4EB72B2A"/>
    <w:rsid w:val="4FAD5906"/>
    <w:rsid w:val="4FD72D7C"/>
    <w:rsid w:val="504570F5"/>
    <w:rsid w:val="504C1F6F"/>
    <w:rsid w:val="504E79EA"/>
    <w:rsid w:val="50605ED6"/>
    <w:rsid w:val="51022C59"/>
    <w:rsid w:val="510D3FD0"/>
    <w:rsid w:val="519D572C"/>
    <w:rsid w:val="520C5638"/>
    <w:rsid w:val="52F957E3"/>
    <w:rsid w:val="53DC213D"/>
    <w:rsid w:val="53E81882"/>
    <w:rsid w:val="54067715"/>
    <w:rsid w:val="542C09F5"/>
    <w:rsid w:val="54746CF2"/>
    <w:rsid w:val="54A9683B"/>
    <w:rsid w:val="54C46E07"/>
    <w:rsid w:val="550118A5"/>
    <w:rsid w:val="557570F1"/>
    <w:rsid w:val="55AF3DBA"/>
    <w:rsid w:val="569B737D"/>
    <w:rsid w:val="56A01386"/>
    <w:rsid w:val="56E962F0"/>
    <w:rsid w:val="57293D45"/>
    <w:rsid w:val="578A66FC"/>
    <w:rsid w:val="579E5A06"/>
    <w:rsid w:val="57A273AA"/>
    <w:rsid w:val="57C03938"/>
    <w:rsid w:val="57E8315B"/>
    <w:rsid w:val="58753033"/>
    <w:rsid w:val="58870C40"/>
    <w:rsid w:val="59533E64"/>
    <w:rsid w:val="59786D42"/>
    <w:rsid w:val="597C056E"/>
    <w:rsid w:val="59C01FE6"/>
    <w:rsid w:val="5B3001E9"/>
    <w:rsid w:val="5B3B6EEF"/>
    <w:rsid w:val="5B82000E"/>
    <w:rsid w:val="5C9B0E06"/>
    <w:rsid w:val="5CA219E6"/>
    <w:rsid w:val="5CA7713F"/>
    <w:rsid w:val="5D3A2971"/>
    <w:rsid w:val="5E7C247A"/>
    <w:rsid w:val="5EB77111"/>
    <w:rsid w:val="5FA443B5"/>
    <w:rsid w:val="5FDD6BA1"/>
    <w:rsid w:val="60536CD8"/>
    <w:rsid w:val="60932522"/>
    <w:rsid w:val="60B70FA9"/>
    <w:rsid w:val="60C747B0"/>
    <w:rsid w:val="617E2507"/>
    <w:rsid w:val="622D6CE2"/>
    <w:rsid w:val="62AA7C2E"/>
    <w:rsid w:val="63CE75CA"/>
    <w:rsid w:val="646A210F"/>
    <w:rsid w:val="6494037C"/>
    <w:rsid w:val="64D61EC7"/>
    <w:rsid w:val="652019CD"/>
    <w:rsid w:val="657B1AC2"/>
    <w:rsid w:val="65D23158"/>
    <w:rsid w:val="663A7C74"/>
    <w:rsid w:val="66A841BC"/>
    <w:rsid w:val="66BA653D"/>
    <w:rsid w:val="66E82261"/>
    <w:rsid w:val="688F768B"/>
    <w:rsid w:val="68BA20F3"/>
    <w:rsid w:val="68C11481"/>
    <w:rsid w:val="6A2D300C"/>
    <w:rsid w:val="6B837AB9"/>
    <w:rsid w:val="6B992C7A"/>
    <w:rsid w:val="6CCD6836"/>
    <w:rsid w:val="6CE0289E"/>
    <w:rsid w:val="6D207877"/>
    <w:rsid w:val="6EEB2CB6"/>
    <w:rsid w:val="6F0A6C41"/>
    <w:rsid w:val="6F63337F"/>
    <w:rsid w:val="70641F76"/>
    <w:rsid w:val="7083738F"/>
    <w:rsid w:val="70F21D25"/>
    <w:rsid w:val="710F182A"/>
    <w:rsid w:val="71E62702"/>
    <w:rsid w:val="72116EA9"/>
    <w:rsid w:val="72190D53"/>
    <w:rsid w:val="72707A0F"/>
    <w:rsid w:val="72DA6D82"/>
    <w:rsid w:val="73C2455E"/>
    <w:rsid w:val="74363732"/>
    <w:rsid w:val="74912219"/>
    <w:rsid w:val="74AB041C"/>
    <w:rsid w:val="757604ED"/>
    <w:rsid w:val="76083D10"/>
    <w:rsid w:val="767A30D7"/>
    <w:rsid w:val="7681345B"/>
    <w:rsid w:val="7690370E"/>
    <w:rsid w:val="79201036"/>
    <w:rsid w:val="79377B57"/>
    <w:rsid w:val="7959382E"/>
    <w:rsid w:val="798D070A"/>
    <w:rsid w:val="79A46BF1"/>
    <w:rsid w:val="7B347AD3"/>
    <w:rsid w:val="7BD92638"/>
    <w:rsid w:val="7BED3F19"/>
    <w:rsid w:val="7CBC4C50"/>
    <w:rsid w:val="7CF2694A"/>
    <w:rsid w:val="7D966A0A"/>
    <w:rsid w:val="7E5E4F08"/>
    <w:rsid w:val="7E603895"/>
    <w:rsid w:val="7EBF4CA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2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28"/>
    <w:qFormat/>
    <w:uiPriority w:val="0"/>
    <w:pPr>
      <w:keepNext/>
      <w:keepLines/>
      <w:spacing w:before="340" w:after="330" w:line="578" w:lineRule="auto"/>
      <w:outlineLvl w:val="0"/>
    </w:pPr>
    <w:rPr>
      <w:b/>
      <w:kern w:val="44"/>
      <w:sz w:val="44"/>
      <w:szCs w:val="20"/>
    </w:rPr>
  </w:style>
  <w:style w:type="paragraph" w:styleId="3">
    <w:name w:val="heading 2"/>
    <w:basedOn w:val="1"/>
    <w:next w:val="1"/>
    <w:link w:val="131"/>
    <w:qFormat/>
    <w:uiPriority w:val="0"/>
    <w:pPr>
      <w:keepNext/>
      <w:keepLines/>
      <w:spacing w:before="260" w:after="260" w:line="416" w:lineRule="auto"/>
      <w:outlineLvl w:val="1"/>
    </w:pPr>
    <w:rPr>
      <w:rFonts w:ascii="Arial" w:hAnsi="Arial" w:eastAsia="黑体"/>
      <w:b/>
      <w:szCs w:val="20"/>
    </w:rPr>
  </w:style>
  <w:style w:type="paragraph" w:styleId="4">
    <w:name w:val="heading 3"/>
    <w:basedOn w:val="1"/>
    <w:next w:val="1"/>
    <w:link w:val="136"/>
    <w:qFormat/>
    <w:uiPriority w:val="0"/>
    <w:pPr>
      <w:keepNext/>
      <w:keepLines/>
      <w:spacing w:before="260" w:after="260" w:line="416" w:lineRule="auto"/>
      <w:outlineLvl w:val="2"/>
    </w:pPr>
    <w:rPr>
      <w:rFonts w:eastAsia="宋体"/>
      <w:b/>
      <w:szCs w:val="20"/>
    </w:rPr>
  </w:style>
  <w:style w:type="paragraph" w:styleId="5">
    <w:name w:val="heading 4"/>
    <w:basedOn w:val="1"/>
    <w:next w:val="1"/>
    <w:link w:val="130"/>
    <w:qFormat/>
    <w:locked/>
    <w:uiPriority w:val="0"/>
    <w:pPr>
      <w:keepNext/>
      <w:keepLines/>
      <w:spacing w:before="280" w:after="290" w:line="376" w:lineRule="auto"/>
      <w:outlineLvl w:val="3"/>
    </w:pPr>
    <w:rPr>
      <w:rFonts w:ascii="Cambria" w:hAnsi="Cambria" w:eastAsia="宋体"/>
      <w:b/>
      <w:bCs/>
      <w:sz w:val="28"/>
      <w:szCs w:val="28"/>
    </w:rPr>
  </w:style>
  <w:style w:type="character" w:default="1" w:styleId="35">
    <w:name w:val="Default Paragraph Font"/>
    <w:semiHidden/>
    <w:qFormat/>
    <w:uiPriority w:val="0"/>
  </w:style>
  <w:style w:type="table" w:default="1" w:styleId="43">
    <w:name w:val="Normal Table"/>
    <w:semiHidden/>
    <w:qFormat/>
    <w:uiPriority w:val="0"/>
    <w:tblPr>
      <w:tblLayout w:type="fixed"/>
      <w:tblCellMar>
        <w:top w:w="0" w:type="dxa"/>
        <w:left w:w="108" w:type="dxa"/>
        <w:bottom w:w="0" w:type="dxa"/>
        <w:right w:w="108" w:type="dxa"/>
      </w:tblCellMar>
    </w:tblPr>
  </w:style>
  <w:style w:type="paragraph" w:styleId="6">
    <w:name w:val="annotation subject"/>
    <w:basedOn w:val="7"/>
    <w:next w:val="7"/>
    <w:link w:val="141"/>
    <w:semiHidden/>
    <w:qFormat/>
    <w:uiPriority w:val="0"/>
    <w:rPr>
      <w:b/>
    </w:rPr>
  </w:style>
  <w:style w:type="paragraph" w:styleId="7">
    <w:name w:val="annotation text"/>
    <w:basedOn w:val="1"/>
    <w:link w:val="124"/>
    <w:semiHidden/>
    <w:qFormat/>
    <w:uiPriority w:val="0"/>
    <w:pPr>
      <w:jc w:val="left"/>
    </w:pPr>
    <w:rPr>
      <w:rFonts w:eastAsia="宋体"/>
      <w:sz w:val="24"/>
      <w:szCs w:val="20"/>
    </w:rPr>
  </w:style>
  <w:style w:type="paragraph" w:styleId="8">
    <w:name w:val="toc 7"/>
    <w:basedOn w:val="1"/>
    <w:next w:val="1"/>
    <w:semiHidden/>
    <w:qFormat/>
    <w:uiPriority w:val="0"/>
    <w:pPr>
      <w:ind w:left="1260"/>
      <w:jc w:val="left"/>
    </w:pPr>
    <w:rPr>
      <w:rFonts w:ascii="Calibri" w:hAnsi="Calibri" w:eastAsia="宋体" w:cs="Calibri"/>
      <w:sz w:val="20"/>
      <w:szCs w:val="20"/>
    </w:rPr>
  </w:style>
  <w:style w:type="paragraph" w:styleId="9">
    <w:name w:val="Normal Indent"/>
    <w:basedOn w:val="1"/>
    <w:qFormat/>
    <w:uiPriority w:val="0"/>
    <w:pPr>
      <w:autoSpaceDE w:val="0"/>
      <w:autoSpaceDN w:val="0"/>
      <w:adjustRightInd w:val="0"/>
      <w:snapToGrid w:val="0"/>
      <w:spacing w:line="384" w:lineRule="auto"/>
      <w:ind w:firstLine="200" w:firstLineChars="200"/>
      <w:textAlignment w:val="baseline"/>
    </w:pPr>
    <w:rPr>
      <w:snapToGrid w:val="0"/>
      <w:kern w:val="10"/>
      <w:sz w:val="30"/>
      <w:szCs w:val="28"/>
    </w:rPr>
  </w:style>
  <w:style w:type="paragraph" w:styleId="10">
    <w:name w:val="caption"/>
    <w:basedOn w:val="1"/>
    <w:next w:val="1"/>
    <w:qFormat/>
    <w:uiPriority w:val="0"/>
    <w:rPr>
      <w:rFonts w:ascii="Arial" w:hAnsi="Arial" w:eastAsia="黑体"/>
      <w:sz w:val="20"/>
      <w:szCs w:val="20"/>
    </w:rPr>
  </w:style>
  <w:style w:type="paragraph" w:styleId="11">
    <w:name w:val="Document Map"/>
    <w:basedOn w:val="1"/>
    <w:link w:val="120"/>
    <w:semiHidden/>
    <w:qFormat/>
    <w:uiPriority w:val="0"/>
    <w:pPr>
      <w:shd w:val="clear" w:color="auto" w:fill="000080"/>
    </w:pPr>
    <w:rPr>
      <w:rFonts w:eastAsia="宋体"/>
      <w:sz w:val="24"/>
      <w:szCs w:val="20"/>
    </w:rPr>
  </w:style>
  <w:style w:type="paragraph" w:styleId="12">
    <w:name w:val="Salutation"/>
    <w:basedOn w:val="1"/>
    <w:next w:val="1"/>
    <w:link w:val="134"/>
    <w:qFormat/>
    <w:uiPriority w:val="0"/>
    <w:pPr>
      <w:spacing w:line="580" w:lineRule="exact"/>
    </w:pPr>
    <w:rPr>
      <w:sz w:val="24"/>
    </w:rPr>
  </w:style>
  <w:style w:type="paragraph" w:styleId="13">
    <w:name w:val="Body Text"/>
    <w:basedOn w:val="1"/>
    <w:link w:val="137"/>
    <w:qFormat/>
    <w:uiPriority w:val="0"/>
    <w:rPr>
      <w:sz w:val="24"/>
    </w:rPr>
  </w:style>
  <w:style w:type="paragraph" w:styleId="14">
    <w:name w:val="Body Text Indent"/>
    <w:basedOn w:val="1"/>
    <w:link w:val="125"/>
    <w:qFormat/>
    <w:uiPriority w:val="0"/>
    <w:pPr>
      <w:spacing w:line="540" w:lineRule="exact"/>
      <w:ind w:firstLine="624" w:firstLineChars="200"/>
    </w:pPr>
    <w:rPr>
      <w:sz w:val="24"/>
    </w:rPr>
  </w:style>
  <w:style w:type="paragraph" w:styleId="15">
    <w:name w:val="toc 5"/>
    <w:basedOn w:val="1"/>
    <w:next w:val="1"/>
    <w:semiHidden/>
    <w:qFormat/>
    <w:uiPriority w:val="0"/>
    <w:pPr>
      <w:ind w:left="840"/>
      <w:jc w:val="left"/>
    </w:pPr>
    <w:rPr>
      <w:rFonts w:ascii="Calibri" w:hAnsi="Calibri" w:eastAsia="宋体" w:cs="Calibri"/>
      <w:sz w:val="20"/>
      <w:szCs w:val="20"/>
    </w:rPr>
  </w:style>
  <w:style w:type="paragraph" w:styleId="16">
    <w:name w:val="toc 3"/>
    <w:basedOn w:val="1"/>
    <w:next w:val="1"/>
    <w:qFormat/>
    <w:uiPriority w:val="39"/>
    <w:pPr>
      <w:ind w:left="420"/>
      <w:jc w:val="left"/>
    </w:pPr>
    <w:rPr>
      <w:rFonts w:ascii="Calibri" w:hAnsi="Calibri" w:eastAsia="宋体" w:cs="Calibri"/>
      <w:sz w:val="20"/>
      <w:szCs w:val="20"/>
    </w:rPr>
  </w:style>
  <w:style w:type="paragraph" w:styleId="17">
    <w:name w:val="Plain Text"/>
    <w:basedOn w:val="1"/>
    <w:link w:val="122"/>
    <w:qFormat/>
    <w:uiPriority w:val="0"/>
    <w:rPr>
      <w:rFonts w:ascii="宋体" w:hAnsi="Courier New" w:eastAsia="宋体"/>
      <w:sz w:val="21"/>
      <w:szCs w:val="20"/>
    </w:rPr>
  </w:style>
  <w:style w:type="paragraph" w:styleId="18">
    <w:name w:val="toc 8"/>
    <w:basedOn w:val="1"/>
    <w:next w:val="1"/>
    <w:semiHidden/>
    <w:qFormat/>
    <w:uiPriority w:val="0"/>
    <w:pPr>
      <w:ind w:left="1470"/>
      <w:jc w:val="left"/>
    </w:pPr>
    <w:rPr>
      <w:rFonts w:ascii="Calibri" w:hAnsi="Calibri" w:eastAsia="宋体" w:cs="Calibri"/>
      <w:sz w:val="20"/>
      <w:szCs w:val="20"/>
    </w:rPr>
  </w:style>
  <w:style w:type="paragraph" w:styleId="19">
    <w:name w:val="Date"/>
    <w:basedOn w:val="1"/>
    <w:next w:val="1"/>
    <w:link w:val="133"/>
    <w:qFormat/>
    <w:uiPriority w:val="0"/>
    <w:pPr>
      <w:ind w:left="100" w:leftChars="2500"/>
    </w:pPr>
  </w:style>
  <w:style w:type="paragraph" w:styleId="20">
    <w:name w:val="Body Text Indent 2"/>
    <w:basedOn w:val="1"/>
    <w:link w:val="132"/>
    <w:qFormat/>
    <w:uiPriority w:val="0"/>
    <w:pPr>
      <w:spacing w:line="600" w:lineRule="exact"/>
      <w:ind w:firstLine="624"/>
    </w:pPr>
    <w:rPr>
      <w:sz w:val="24"/>
    </w:rPr>
  </w:style>
  <w:style w:type="paragraph" w:styleId="21">
    <w:name w:val="Balloon Text"/>
    <w:basedOn w:val="1"/>
    <w:link w:val="135"/>
    <w:semiHidden/>
    <w:qFormat/>
    <w:uiPriority w:val="0"/>
    <w:rPr>
      <w:sz w:val="18"/>
      <w:szCs w:val="20"/>
    </w:rPr>
  </w:style>
  <w:style w:type="paragraph" w:styleId="22">
    <w:name w:val="footer"/>
    <w:basedOn w:val="1"/>
    <w:link w:val="121"/>
    <w:qFormat/>
    <w:uiPriority w:val="0"/>
    <w:pPr>
      <w:tabs>
        <w:tab w:val="center" w:pos="4153"/>
        <w:tab w:val="right" w:pos="8306"/>
      </w:tabs>
      <w:snapToGrid w:val="0"/>
      <w:jc w:val="left"/>
    </w:pPr>
    <w:rPr>
      <w:sz w:val="18"/>
      <w:szCs w:val="20"/>
    </w:rPr>
  </w:style>
  <w:style w:type="paragraph" w:styleId="23">
    <w:name w:val="header"/>
    <w:basedOn w:val="1"/>
    <w:link w:val="123"/>
    <w:qFormat/>
    <w:uiPriority w:val="0"/>
    <w:pPr>
      <w:pBdr>
        <w:bottom w:val="single" w:color="auto" w:sz="6" w:space="1"/>
      </w:pBdr>
      <w:tabs>
        <w:tab w:val="center" w:pos="4153"/>
        <w:tab w:val="right" w:pos="8306"/>
      </w:tabs>
      <w:snapToGrid w:val="0"/>
      <w:jc w:val="center"/>
    </w:pPr>
    <w:rPr>
      <w:sz w:val="18"/>
      <w:szCs w:val="20"/>
    </w:rPr>
  </w:style>
  <w:style w:type="paragraph" w:styleId="24">
    <w:name w:val="toc 1"/>
    <w:basedOn w:val="1"/>
    <w:next w:val="1"/>
    <w:qFormat/>
    <w:uiPriority w:val="39"/>
    <w:pPr>
      <w:spacing w:before="120"/>
      <w:jc w:val="left"/>
    </w:pPr>
    <w:rPr>
      <w:rFonts w:ascii="Calibri" w:hAnsi="Calibri" w:eastAsia="宋体" w:cs="Calibri"/>
      <w:b/>
      <w:bCs/>
      <w:i/>
      <w:iCs/>
      <w:sz w:val="24"/>
    </w:rPr>
  </w:style>
  <w:style w:type="paragraph" w:styleId="25">
    <w:name w:val="toc 4"/>
    <w:basedOn w:val="1"/>
    <w:next w:val="1"/>
    <w:semiHidden/>
    <w:qFormat/>
    <w:uiPriority w:val="0"/>
    <w:pPr>
      <w:ind w:left="630"/>
      <w:jc w:val="left"/>
    </w:pPr>
    <w:rPr>
      <w:rFonts w:ascii="Calibri" w:hAnsi="Calibri" w:eastAsia="宋体" w:cs="Calibri"/>
      <w:sz w:val="20"/>
      <w:szCs w:val="20"/>
    </w:rPr>
  </w:style>
  <w:style w:type="paragraph" w:styleId="26">
    <w:name w:val="Subtitle"/>
    <w:basedOn w:val="1"/>
    <w:next w:val="1"/>
    <w:link w:val="126"/>
    <w:qFormat/>
    <w:locked/>
    <w:uiPriority w:val="0"/>
    <w:pPr>
      <w:spacing w:before="240" w:after="60" w:line="312" w:lineRule="auto"/>
      <w:jc w:val="center"/>
      <w:outlineLvl w:val="1"/>
    </w:pPr>
    <w:rPr>
      <w:rFonts w:ascii="Cambria" w:hAnsi="Cambria" w:eastAsia="宋体"/>
      <w:b/>
      <w:bCs/>
      <w:kern w:val="28"/>
      <w:szCs w:val="32"/>
    </w:rPr>
  </w:style>
  <w:style w:type="paragraph" w:styleId="27">
    <w:name w:val="footnote text"/>
    <w:basedOn w:val="1"/>
    <w:link w:val="139"/>
    <w:semiHidden/>
    <w:qFormat/>
    <w:uiPriority w:val="0"/>
    <w:pPr>
      <w:snapToGrid w:val="0"/>
      <w:jc w:val="left"/>
    </w:pPr>
    <w:rPr>
      <w:rFonts w:eastAsia="宋体"/>
      <w:sz w:val="18"/>
      <w:szCs w:val="20"/>
    </w:rPr>
  </w:style>
  <w:style w:type="paragraph" w:styleId="28">
    <w:name w:val="toc 6"/>
    <w:basedOn w:val="1"/>
    <w:next w:val="1"/>
    <w:semiHidden/>
    <w:qFormat/>
    <w:uiPriority w:val="0"/>
    <w:pPr>
      <w:ind w:left="1050"/>
      <w:jc w:val="left"/>
    </w:pPr>
    <w:rPr>
      <w:rFonts w:ascii="Calibri" w:hAnsi="Calibri" w:eastAsia="宋体" w:cs="Calibri"/>
      <w:sz w:val="20"/>
      <w:szCs w:val="20"/>
    </w:rPr>
  </w:style>
  <w:style w:type="paragraph" w:styleId="29">
    <w:name w:val="Body Text Indent 3"/>
    <w:basedOn w:val="1"/>
    <w:link w:val="127"/>
    <w:qFormat/>
    <w:uiPriority w:val="0"/>
    <w:pPr>
      <w:spacing w:line="600" w:lineRule="exact"/>
      <w:ind w:firstLine="755" w:firstLineChars="235"/>
    </w:pPr>
    <w:rPr>
      <w:rFonts w:ascii="黑体" w:eastAsia="黑体"/>
      <w:b/>
      <w:sz w:val="24"/>
      <w:szCs w:val="20"/>
    </w:rPr>
  </w:style>
  <w:style w:type="paragraph" w:styleId="30">
    <w:name w:val="toc 2"/>
    <w:basedOn w:val="1"/>
    <w:next w:val="1"/>
    <w:qFormat/>
    <w:uiPriority w:val="39"/>
    <w:pPr>
      <w:spacing w:before="120"/>
      <w:ind w:left="210"/>
      <w:jc w:val="left"/>
    </w:pPr>
    <w:rPr>
      <w:rFonts w:ascii="Calibri" w:hAnsi="Calibri" w:eastAsia="宋体" w:cs="Calibri"/>
      <w:b/>
      <w:bCs/>
      <w:sz w:val="22"/>
      <w:szCs w:val="22"/>
    </w:rPr>
  </w:style>
  <w:style w:type="paragraph" w:styleId="31">
    <w:name w:val="toc 9"/>
    <w:basedOn w:val="1"/>
    <w:next w:val="1"/>
    <w:semiHidden/>
    <w:qFormat/>
    <w:uiPriority w:val="0"/>
    <w:pPr>
      <w:ind w:left="1680"/>
      <w:jc w:val="left"/>
    </w:pPr>
    <w:rPr>
      <w:rFonts w:ascii="Calibri" w:hAnsi="Calibri" w:eastAsia="宋体" w:cs="Calibri"/>
      <w:sz w:val="20"/>
      <w:szCs w:val="20"/>
    </w:rPr>
  </w:style>
  <w:style w:type="paragraph" w:styleId="32">
    <w:name w:val="HTML Preformatted"/>
    <w:basedOn w:val="1"/>
    <w:link w:val="140"/>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kern w:val="0"/>
      <w:sz w:val="24"/>
    </w:rPr>
  </w:style>
  <w:style w:type="paragraph" w:styleId="33">
    <w:name w:val="Normal (Web)"/>
    <w:basedOn w:val="1"/>
    <w:qFormat/>
    <w:uiPriority w:val="99"/>
    <w:pPr>
      <w:widowControl/>
      <w:spacing w:before="100" w:beforeAutospacing="1" w:after="100" w:afterAutospacing="1"/>
      <w:jc w:val="left"/>
    </w:pPr>
    <w:rPr>
      <w:rFonts w:ascii="宋体" w:hAnsi="宋体" w:eastAsia="宋体" w:cs="宋体"/>
      <w:color w:val="000000"/>
      <w:kern w:val="0"/>
      <w:sz w:val="24"/>
    </w:rPr>
  </w:style>
  <w:style w:type="paragraph" w:styleId="34">
    <w:name w:val="Title"/>
    <w:basedOn w:val="1"/>
    <w:next w:val="1"/>
    <w:link w:val="138"/>
    <w:qFormat/>
    <w:uiPriority w:val="0"/>
    <w:pPr>
      <w:spacing w:before="240" w:after="60"/>
      <w:jc w:val="center"/>
      <w:outlineLvl w:val="0"/>
    </w:pPr>
    <w:rPr>
      <w:rFonts w:ascii="Cambria" w:hAnsi="Cambria" w:eastAsia="宋体"/>
      <w:b/>
      <w:szCs w:val="20"/>
    </w:rPr>
  </w:style>
  <w:style w:type="character" w:styleId="36">
    <w:name w:val="Strong"/>
    <w:qFormat/>
    <w:locked/>
    <w:uiPriority w:val="22"/>
    <w:rPr>
      <w:b/>
      <w:bCs/>
    </w:rPr>
  </w:style>
  <w:style w:type="character" w:styleId="37">
    <w:name w:val="page number"/>
    <w:qFormat/>
    <w:uiPriority w:val="0"/>
    <w:rPr>
      <w:rFonts w:cs="Times New Roman"/>
    </w:rPr>
  </w:style>
  <w:style w:type="character" w:styleId="38">
    <w:name w:val="FollowedHyperlink"/>
    <w:qFormat/>
    <w:uiPriority w:val="99"/>
    <w:rPr>
      <w:rFonts w:cs="Times New Roman"/>
      <w:color w:val="800080"/>
      <w:u w:val="single"/>
    </w:rPr>
  </w:style>
  <w:style w:type="character" w:styleId="39">
    <w:name w:val="Emphasis"/>
    <w:qFormat/>
    <w:uiPriority w:val="20"/>
    <w:rPr>
      <w:rFonts w:cs="Times New Roman"/>
      <w:color w:val="CC0000"/>
    </w:rPr>
  </w:style>
  <w:style w:type="character" w:styleId="40">
    <w:name w:val="Hyperlink"/>
    <w:qFormat/>
    <w:uiPriority w:val="99"/>
    <w:rPr>
      <w:rFonts w:cs="Times New Roman"/>
      <w:color w:val="0000FF"/>
      <w:u w:val="single"/>
    </w:rPr>
  </w:style>
  <w:style w:type="character" w:styleId="41">
    <w:name w:val="annotation reference"/>
    <w:semiHidden/>
    <w:qFormat/>
    <w:uiPriority w:val="0"/>
    <w:rPr>
      <w:rFonts w:cs="Times New Roman"/>
      <w:sz w:val="21"/>
    </w:rPr>
  </w:style>
  <w:style w:type="character" w:styleId="42">
    <w:name w:val="footnote reference"/>
    <w:semiHidden/>
    <w:qFormat/>
    <w:uiPriority w:val="0"/>
    <w:rPr>
      <w:rFonts w:cs="Times New Roman"/>
      <w:vertAlign w:val="superscript"/>
    </w:rPr>
  </w:style>
  <w:style w:type="table" w:styleId="44">
    <w:name w:val="Table Grid"/>
    <w:basedOn w:val="43"/>
    <w:qFormat/>
    <w:uiPriority w:val="0"/>
    <w:pPr>
      <w:widowControl w:val="0"/>
      <w:jc w:val="both"/>
    </w:pPr>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45">
    <w:name w:val="xl87"/>
    <w:basedOn w:val="1"/>
    <w:qFormat/>
    <w:uiPriority w:val="0"/>
    <w:pPr>
      <w:widowControl/>
      <w:spacing w:before="100" w:beforeAutospacing="1" w:after="100" w:afterAutospacing="1"/>
      <w:jc w:val="left"/>
    </w:pPr>
    <w:rPr>
      <w:rFonts w:ascii="宋体" w:hAnsi="宋体" w:eastAsia="宋体" w:cs="宋体"/>
      <w:color w:val="B1A0C7"/>
      <w:kern w:val="0"/>
      <w:sz w:val="24"/>
    </w:rPr>
  </w:style>
  <w:style w:type="paragraph" w:customStyle="1" w:styleId="46">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宋体"/>
      <w:color w:val="4F81BD"/>
      <w:kern w:val="0"/>
      <w:sz w:val="20"/>
      <w:szCs w:val="20"/>
    </w:rPr>
  </w:style>
  <w:style w:type="paragraph" w:customStyle="1" w:styleId="47">
    <w:name w:val="xl76"/>
    <w:basedOn w:val="1"/>
    <w:qFormat/>
    <w:uiPriority w:val="0"/>
    <w:pPr>
      <w:widowControl/>
      <w:spacing w:before="100" w:beforeAutospacing="1" w:after="100" w:afterAutospacing="1"/>
      <w:jc w:val="left"/>
    </w:pPr>
    <w:rPr>
      <w:rFonts w:ascii="仿宋_GB2312" w:hAnsi="宋体" w:cs="宋体"/>
      <w:b/>
      <w:bCs/>
      <w:kern w:val="0"/>
      <w:sz w:val="24"/>
    </w:rPr>
  </w:style>
  <w:style w:type="paragraph" w:customStyle="1" w:styleId="48">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eastAsia="宋体"/>
      <w:kern w:val="0"/>
      <w:sz w:val="20"/>
      <w:szCs w:val="20"/>
    </w:rPr>
  </w:style>
  <w:style w:type="paragraph" w:customStyle="1" w:styleId="49">
    <w:name w:val="Char Char Char Char Char Char Char Char Char Char Char Char Char"/>
    <w:basedOn w:val="1"/>
    <w:qFormat/>
    <w:uiPriority w:val="0"/>
    <w:rPr>
      <w:rFonts w:eastAsia="宋体"/>
      <w:sz w:val="21"/>
      <w:szCs w:val="20"/>
    </w:rPr>
  </w:style>
  <w:style w:type="paragraph" w:customStyle="1" w:styleId="50">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宋体"/>
      <w:color w:val="7030A0"/>
      <w:kern w:val="0"/>
      <w:sz w:val="20"/>
      <w:szCs w:val="20"/>
    </w:rPr>
  </w:style>
  <w:style w:type="paragraph" w:customStyle="1" w:styleId="51">
    <w:name w:val="xl91"/>
    <w:basedOn w:val="1"/>
    <w:qFormat/>
    <w:uiPriority w:val="0"/>
    <w:pPr>
      <w:widowControl/>
      <w:spacing w:before="100" w:beforeAutospacing="1" w:after="100" w:afterAutospacing="1"/>
      <w:jc w:val="left"/>
    </w:pPr>
    <w:rPr>
      <w:rFonts w:ascii="宋体" w:hAnsi="宋体" w:eastAsia="宋体" w:cs="宋体"/>
      <w:color w:val="0070C0"/>
      <w:kern w:val="0"/>
      <w:sz w:val="24"/>
    </w:rPr>
  </w:style>
  <w:style w:type="paragraph" w:customStyle="1" w:styleId="52">
    <w:name w:val="1 Char"/>
    <w:basedOn w:val="1"/>
    <w:qFormat/>
    <w:uiPriority w:val="0"/>
    <w:rPr>
      <w:rFonts w:eastAsia="宋体"/>
      <w:sz w:val="21"/>
    </w:rPr>
  </w:style>
  <w:style w:type="paragraph" w:customStyle="1" w:styleId="53">
    <w:name w:val="xl70"/>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eastAsia="宋体"/>
      <w:kern w:val="0"/>
      <w:sz w:val="20"/>
      <w:szCs w:val="20"/>
    </w:rPr>
  </w:style>
  <w:style w:type="paragraph" w:customStyle="1" w:styleId="54">
    <w:name w:val="样式 CUCD-0 + 首行缩进:  2 字符"/>
    <w:basedOn w:val="1"/>
    <w:qFormat/>
    <w:uiPriority w:val="0"/>
    <w:pPr>
      <w:snapToGrid w:val="0"/>
      <w:spacing w:line="360" w:lineRule="auto"/>
      <w:ind w:firstLine="601"/>
    </w:pPr>
    <w:rPr>
      <w:rFonts w:ascii="仿宋_GB2312" w:hAnsi="Arial" w:cs="宋体"/>
      <w:sz w:val="30"/>
      <w:szCs w:val="30"/>
    </w:rPr>
  </w:style>
  <w:style w:type="paragraph" w:customStyle="1" w:styleId="55">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宋体"/>
      <w:color w:val="1F497D"/>
      <w:kern w:val="0"/>
      <w:sz w:val="20"/>
      <w:szCs w:val="20"/>
    </w:rPr>
  </w:style>
  <w:style w:type="paragraph" w:customStyle="1" w:styleId="56">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宋体"/>
      <w:color w:val="0070C0"/>
      <w:kern w:val="0"/>
      <w:sz w:val="20"/>
      <w:szCs w:val="20"/>
    </w:rPr>
  </w:style>
  <w:style w:type="paragraph" w:customStyle="1" w:styleId="57">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宋体"/>
      <w:kern w:val="0"/>
      <w:sz w:val="20"/>
      <w:szCs w:val="20"/>
    </w:rPr>
  </w:style>
  <w:style w:type="paragraph" w:customStyle="1" w:styleId="58">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宋体"/>
      <w:color w:val="B1A0C7"/>
      <w:kern w:val="0"/>
      <w:sz w:val="20"/>
      <w:szCs w:val="20"/>
    </w:rPr>
  </w:style>
  <w:style w:type="paragraph" w:customStyle="1" w:styleId="59">
    <w:name w:val="xl100"/>
    <w:basedOn w:val="1"/>
    <w:qFormat/>
    <w:uiPriority w:val="0"/>
    <w:pPr>
      <w:widowControl/>
      <w:shd w:val="clear" w:color="000000" w:fill="FFFF00"/>
      <w:spacing w:before="100" w:beforeAutospacing="1" w:after="100" w:afterAutospacing="1"/>
      <w:jc w:val="left"/>
    </w:pPr>
    <w:rPr>
      <w:rFonts w:ascii="宋体" w:hAnsi="宋体" w:eastAsia="宋体" w:cs="宋体"/>
      <w:kern w:val="0"/>
      <w:sz w:val="24"/>
    </w:rPr>
  </w:style>
  <w:style w:type="paragraph" w:customStyle="1" w:styleId="60">
    <w:name w:val="font13"/>
    <w:basedOn w:val="1"/>
    <w:qFormat/>
    <w:uiPriority w:val="0"/>
    <w:pPr>
      <w:widowControl/>
      <w:spacing w:before="100" w:beforeAutospacing="1" w:after="100" w:afterAutospacing="1"/>
      <w:jc w:val="left"/>
    </w:pPr>
    <w:rPr>
      <w:rFonts w:ascii="宋体" w:hAnsi="宋体" w:eastAsia="宋体" w:cs="宋体"/>
      <w:color w:val="B1A0C7"/>
      <w:kern w:val="0"/>
      <w:sz w:val="20"/>
      <w:szCs w:val="20"/>
    </w:rPr>
  </w:style>
  <w:style w:type="paragraph" w:customStyle="1" w:styleId="61">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宋体"/>
      <w:color w:val="B1A0C7"/>
      <w:kern w:val="0"/>
      <w:sz w:val="20"/>
      <w:szCs w:val="20"/>
    </w:rPr>
  </w:style>
  <w:style w:type="paragraph" w:customStyle="1" w:styleId="62">
    <w:name w:val="font8"/>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63">
    <w:name w:val="表文"/>
    <w:basedOn w:val="1"/>
    <w:qFormat/>
    <w:uiPriority w:val="0"/>
    <w:pPr>
      <w:adjustRightInd w:val="0"/>
      <w:snapToGrid w:val="0"/>
      <w:jc w:val="center"/>
      <w:textAlignment w:val="baseline"/>
    </w:pPr>
    <w:rPr>
      <w:rFonts w:eastAsia="宋体"/>
      <w:snapToGrid w:val="0"/>
      <w:kern w:val="10"/>
      <w:sz w:val="24"/>
      <w:szCs w:val="30"/>
    </w:rPr>
  </w:style>
  <w:style w:type="paragraph" w:customStyle="1" w:styleId="64">
    <w:name w:val="xl68"/>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65">
    <w:name w:val="xl79"/>
    <w:basedOn w:val="1"/>
    <w:qFormat/>
    <w:uiPriority w:val="0"/>
    <w:pPr>
      <w:widowControl/>
      <w:spacing w:before="100" w:beforeAutospacing="1" w:after="100" w:afterAutospacing="1"/>
      <w:jc w:val="left"/>
    </w:pPr>
    <w:rPr>
      <w:rFonts w:ascii="宋体" w:hAnsi="宋体" w:eastAsia="宋体" w:cs="宋体"/>
      <w:color w:val="FF0000"/>
      <w:kern w:val="0"/>
      <w:sz w:val="24"/>
    </w:rPr>
  </w:style>
  <w:style w:type="paragraph" w:customStyle="1" w:styleId="66">
    <w:name w:val="Char1"/>
    <w:basedOn w:val="1"/>
    <w:qFormat/>
    <w:uiPriority w:val="0"/>
    <w:rPr>
      <w:rFonts w:eastAsia="宋体"/>
      <w:sz w:val="21"/>
      <w:szCs w:val="21"/>
    </w:rPr>
  </w:style>
  <w:style w:type="paragraph" w:customStyle="1" w:styleId="67">
    <w:name w:val="p0"/>
    <w:basedOn w:val="1"/>
    <w:qFormat/>
    <w:uiPriority w:val="0"/>
    <w:pPr>
      <w:widowControl/>
    </w:pPr>
    <w:rPr>
      <w:rFonts w:eastAsia="宋体"/>
      <w:kern w:val="0"/>
      <w:szCs w:val="32"/>
    </w:rPr>
  </w:style>
  <w:style w:type="paragraph" w:customStyle="1" w:styleId="68">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宋体"/>
      <w:color w:val="0070C0"/>
      <w:kern w:val="0"/>
      <w:sz w:val="20"/>
      <w:szCs w:val="20"/>
    </w:rPr>
  </w:style>
  <w:style w:type="paragraph" w:customStyle="1" w:styleId="69">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70">
    <w:name w:val="xl96"/>
    <w:basedOn w:val="1"/>
    <w:qFormat/>
    <w:uiPriority w:val="0"/>
    <w:pPr>
      <w:widowControl/>
      <w:spacing w:before="100" w:beforeAutospacing="1" w:after="100" w:afterAutospacing="1"/>
      <w:jc w:val="left"/>
    </w:pPr>
    <w:rPr>
      <w:rFonts w:ascii="宋体" w:hAnsi="宋体" w:eastAsia="宋体" w:cs="宋体"/>
      <w:color w:val="1F497D"/>
      <w:kern w:val="0"/>
      <w:sz w:val="24"/>
    </w:rPr>
  </w:style>
  <w:style w:type="paragraph" w:customStyle="1" w:styleId="71">
    <w:name w:val="xl8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eastAsia="宋体"/>
      <w:color w:val="0070C0"/>
      <w:kern w:val="0"/>
      <w:sz w:val="20"/>
      <w:szCs w:val="20"/>
    </w:rPr>
  </w:style>
  <w:style w:type="paragraph" w:customStyle="1" w:styleId="72">
    <w:name w:val="font7"/>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73">
    <w:name w:val="font14"/>
    <w:basedOn w:val="1"/>
    <w:qFormat/>
    <w:uiPriority w:val="0"/>
    <w:pPr>
      <w:widowControl/>
      <w:spacing w:before="100" w:beforeAutospacing="1" w:after="100" w:afterAutospacing="1"/>
      <w:jc w:val="left"/>
    </w:pPr>
    <w:rPr>
      <w:rFonts w:ascii="宋体" w:hAnsi="宋体" w:eastAsia="宋体" w:cs="宋体"/>
      <w:color w:val="0070C0"/>
      <w:kern w:val="0"/>
      <w:sz w:val="20"/>
      <w:szCs w:val="20"/>
    </w:rPr>
  </w:style>
  <w:style w:type="paragraph" w:customStyle="1" w:styleId="7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宋体"/>
      <w:kern w:val="0"/>
      <w:sz w:val="20"/>
      <w:szCs w:val="20"/>
    </w:rPr>
  </w:style>
  <w:style w:type="paragraph" w:customStyle="1" w:styleId="75">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6">
    <w:name w:val="xl10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pPr>
    <w:rPr>
      <w:rFonts w:eastAsia="宋体"/>
      <w:kern w:val="0"/>
      <w:sz w:val="20"/>
      <w:szCs w:val="20"/>
    </w:rPr>
  </w:style>
  <w:style w:type="paragraph" w:customStyle="1" w:styleId="77">
    <w:name w:val="default paragraph font Char"/>
    <w:basedOn w:val="1"/>
    <w:qFormat/>
    <w:uiPriority w:val="0"/>
    <w:pPr>
      <w:spacing w:line="240" w:lineRule="atLeast"/>
      <w:ind w:left="420" w:firstLine="420"/>
    </w:pPr>
    <w:rPr>
      <w:rFonts w:eastAsia="宋体"/>
      <w:kern w:val="0"/>
      <w:sz w:val="21"/>
      <w:szCs w:val="21"/>
    </w:rPr>
  </w:style>
  <w:style w:type="paragraph" w:customStyle="1" w:styleId="78">
    <w:name w:val="Char"/>
    <w:basedOn w:val="1"/>
    <w:qFormat/>
    <w:uiPriority w:val="0"/>
    <w:rPr>
      <w:rFonts w:eastAsia="宋体"/>
      <w:sz w:val="21"/>
      <w:szCs w:val="21"/>
    </w:rPr>
  </w:style>
  <w:style w:type="paragraph" w:customStyle="1" w:styleId="79">
    <w:name w:val="font9"/>
    <w:basedOn w:val="1"/>
    <w:qFormat/>
    <w:uiPriority w:val="0"/>
    <w:pPr>
      <w:widowControl/>
      <w:spacing w:before="100" w:beforeAutospacing="1" w:after="100" w:afterAutospacing="1"/>
      <w:jc w:val="left"/>
    </w:pPr>
    <w:rPr>
      <w:rFonts w:eastAsia="宋体"/>
      <w:b/>
      <w:bCs/>
      <w:kern w:val="0"/>
      <w:sz w:val="24"/>
    </w:rPr>
  </w:style>
  <w:style w:type="paragraph" w:customStyle="1" w:styleId="80">
    <w:name w:val="xl108"/>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pPr>
    <w:rPr>
      <w:rFonts w:eastAsia="宋体"/>
      <w:kern w:val="0"/>
      <w:sz w:val="20"/>
      <w:szCs w:val="20"/>
    </w:rPr>
  </w:style>
  <w:style w:type="paragraph" w:customStyle="1" w:styleId="81">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宋体"/>
      <w:color w:val="0070C0"/>
      <w:kern w:val="0"/>
      <w:sz w:val="20"/>
      <w:szCs w:val="20"/>
    </w:rPr>
  </w:style>
  <w:style w:type="paragraph" w:customStyle="1" w:styleId="82">
    <w:name w:val="msonormalcxspmiddle"/>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83">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宋体"/>
      <w:color w:val="FF0000"/>
      <w:kern w:val="0"/>
      <w:sz w:val="20"/>
      <w:szCs w:val="20"/>
    </w:rPr>
  </w:style>
  <w:style w:type="paragraph" w:customStyle="1" w:styleId="84">
    <w:name w:val="xl8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eastAsia="宋体"/>
      <w:color w:val="4F81BD"/>
      <w:kern w:val="0"/>
      <w:sz w:val="20"/>
      <w:szCs w:val="20"/>
    </w:rPr>
  </w:style>
  <w:style w:type="paragraph" w:customStyle="1" w:styleId="85">
    <w:name w:val="_Style 84"/>
    <w:semiHidden/>
    <w:qFormat/>
    <w:uiPriority w:val="99"/>
    <w:rPr>
      <w:rFonts w:ascii="Times New Roman" w:hAnsi="Times New Roman" w:eastAsia="仿宋_GB2312" w:cs="Times New Roman"/>
      <w:kern w:val="2"/>
      <w:sz w:val="32"/>
      <w:szCs w:val="24"/>
      <w:lang w:val="en-US" w:eastAsia="zh-CN" w:bidi="ar-SA"/>
    </w:rPr>
  </w:style>
  <w:style w:type="paragraph" w:customStyle="1" w:styleId="86">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宋体"/>
      <w:color w:val="FF0000"/>
      <w:kern w:val="0"/>
      <w:sz w:val="20"/>
      <w:szCs w:val="20"/>
    </w:rPr>
  </w:style>
  <w:style w:type="paragraph" w:customStyle="1" w:styleId="87">
    <w:name w:val="xl10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eastAsia="宋体"/>
      <w:kern w:val="0"/>
      <w:sz w:val="20"/>
      <w:szCs w:val="20"/>
    </w:rPr>
  </w:style>
  <w:style w:type="paragraph" w:customStyle="1" w:styleId="88">
    <w:name w:val="表头"/>
    <w:basedOn w:val="1"/>
    <w:qFormat/>
    <w:uiPriority w:val="0"/>
    <w:pPr>
      <w:keepNext/>
      <w:autoSpaceDE w:val="0"/>
      <w:autoSpaceDN w:val="0"/>
      <w:adjustRightInd w:val="0"/>
      <w:snapToGrid w:val="0"/>
      <w:spacing w:before="50" w:beforeLines="50" w:line="360" w:lineRule="auto"/>
      <w:jc w:val="center"/>
      <w:textAlignment w:val="baseline"/>
    </w:pPr>
    <w:rPr>
      <w:rFonts w:eastAsia="宋体"/>
      <w:b/>
      <w:snapToGrid w:val="0"/>
      <w:kern w:val="10"/>
      <w:sz w:val="28"/>
      <w:szCs w:val="30"/>
    </w:rPr>
  </w:style>
  <w:style w:type="paragraph" w:customStyle="1" w:styleId="89">
    <w:name w:val="font15"/>
    <w:basedOn w:val="1"/>
    <w:qFormat/>
    <w:uiPriority w:val="0"/>
    <w:pPr>
      <w:widowControl/>
      <w:spacing w:before="100" w:beforeAutospacing="1" w:after="100" w:afterAutospacing="1"/>
      <w:jc w:val="left"/>
    </w:pPr>
    <w:rPr>
      <w:rFonts w:ascii="宋体" w:hAnsi="宋体" w:eastAsia="宋体" w:cs="宋体"/>
      <w:color w:val="1F497D"/>
      <w:kern w:val="0"/>
      <w:sz w:val="20"/>
      <w:szCs w:val="20"/>
    </w:rPr>
  </w:style>
  <w:style w:type="paragraph" w:customStyle="1" w:styleId="90">
    <w:name w:val="_Style 89"/>
    <w:basedOn w:val="2"/>
    <w:next w:val="1"/>
    <w:qFormat/>
    <w:uiPriority w:val="39"/>
    <w:pPr>
      <w:widowControl/>
      <w:spacing w:before="480" w:after="0" w:line="276" w:lineRule="auto"/>
      <w:jc w:val="left"/>
      <w:outlineLvl w:val="9"/>
    </w:pPr>
    <w:rPr>
      <w:rFonts w:ascii="Cambria" w:hAnsi="Cambria" w:eastAsia="宋体"/>
      <w:color w:val="365F91"/>
      <w:kern w:val="0"/>
      <w:sz w:val="28"/>
      <w:szCs w:val="28"/>
    </w:rPr>
  </w:style>
  <w:style w:type="paragraph" w:customStyle="1" w:styleId="91">
    <w:name w:val="font11"/>
    <w:basedOn w:val="1"/>
    <w:qFormat/>
    <w:uiPriority w:val="0"/>
    <w:pPr>
      <w:widowControl/>
      <w:spacing w:before="100" w:beforeAutospacing="1" w:after="100" w:afterAutospacing="1"/>
      <w:jc w:val="left"/>
    </w:pPr>
    <w:rPr>
      <w:rFonts w:ascii="仿宋_GB2312" w:hAnsi="宋体" w:cs="宋体"/>
      <w:b/>
      <w:bCs/>
      <w:kern w:val="0"/>
      <w:sz w:val="24"/>
    </w:rPr>
  </w:style>
  <w:style w:type="paragraph" w:customStyle="1" w:styleId="92">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eastAsia="宋体"/>
      <w:kern w:val="0"/>
      <w:sz w:val="20"/>
      <w:szCs w:val="20"/>
    </w:rPr>
  </w:style>
  <w:style w:type="paragraph" w:customStyle="1" w:styleId="93">
    <w:name w:val="font16"/>
    <w:basedOn w:val="1"/>
    <w:qFormat/>
    <w:uiPriority w:val="0"/>
    <w:pPr>
      <w:widowControl/>
      <w:spacing w:before="100" w:beforeAutospacing="1" w:after="100" w:afterAutospacing="1"/>
      <w:jc w:val="left"/>
    </w:pPr>
    <w:rPr>
      <w:rFonts w:ascii="宋体" w:hAnsi="宋体" w:eastAsia="宋体" w:cs="宋体"/>
      <w:color w:val="7030A0"/>
      <w:kern w:val="0"/>
      <w:sz w:val="20"/>
      <w:szCs w:val="20"/>
    </w:rPr>
  </w:style>
  <w:style w:type="paragraph" w:customStyle="1" w:styleId="94">
    <w:name w:val="xl8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eastAsia="宋体"/>
      <w:color w:val="B1A0C7"/>
      <w:kern w:val="0"/>
      <w:sz w:val="20"/>
      <w:szCs w:val="20"/>
    </w:rPr>
  </w:style>
  <w:style w:type="paragraph" w:customStyle="1" w:styleId="95">
    <w:name w:val="xl102"/>
    <w:basedOn w:val="1"/>
    <w:qFormat/>
    <w:uiPriority w:val="0"/>
    <w:pPr>
      <w:widowControl/>
      <w:spacing w:before="100" w:beforeAutospacing="1" w:after="100" w:afterAutospacing="1"/>
      <w:jc w:val="center"/>
    </w:pPr>
    <w:rPr>
      <w:rFonts w:eastAsia="宋体"/>
      <w:b/>
      <w:bCs/>
      <w:kern w:val="0"/>
      <w:sz w:val="24"/>
    </w:rPr>
  </w:style>
  <w:style w:type="paragraph" w:customStyle="1" w:styleId="96">
    <w:name w:val="CUCD-A"/>
    <w:next w:val="1"/>
    <w:qFormat/>
    <w:uiPriority w:val="0"/>
    <w:pPr>
      <w:jc w:val="both"/>
      <w:outlineLvl w:val="0"/>
    </w:pPr>
    <w:rPr>
      <w:rFonts w:ascii="宋体" w:hAnsi="宋体" w:eastAsia="宋体" w:cs="Times New Roman"/>
      <w:kern w:val="2"/>
      <w:sz w:val="44"/>
      <w:szCs w:val="44"/>
      <w:lang w:val="en-US" w:eastAsia="zh-CN" w:bidi="ar-SA"/>
    </w:rPr>
  </w:style>
  <w:style w:type="paragraph" w:customStyle="1" w:styleId="97">
    <w:name w:val="font10"/>
    <w:basedOn w:val="1"/>
    <w:qFormat/>
    <w:uiPriority w:val="0"/>
    <w:pPr>
      <w:widowControl/>
      <w:spacing w:before="100" w:beforeAutospacing="1" w:after="100" w:afterAutospacing="1"/>
      <w:jc w:val="left"/>
    </w:pPr>
    <w:rPr>
      <w:rFonts w:ascii="宋体" w:hAnsi="宋体" w:eastAsia="宋体" w:cs="宋体"/>
      <w:color w:val="FF0000"/>
      <w:kern w:val="0"/>
      <w:sz w:val="20"/>
      <w:szCs w:val="20"/>
    </w:rPr>
  </w:style>
  <w:style w:type="paragraph" w:customStyle="1" w:styleId="98">
    <w:name w:val="xl9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eastAsia="宋体"/>
      <w:color w:val="1F497D"/>
      <w:kern w:val="0"/>
      <w:sz w:val="20"/>
      <w:szCs w:val="20"/>
    </w:rPr>
  </w:style>
  <w:style w:type="paragraph" w:customStyle="1" w:styleId="99">
    <w:name w:val="font6"/>
    <w:basedOn w:val="1"/>
    <w:qFormat/>
    <w:uiPriority w:val="0"/>
    <w:pPr>
      <w:widowControl/>
      <w:spacing w:before="100" w:beforeAutospacing="1" w:after="100" w:afterAutospacing="1"/>
      <w:jc w:val="left"/>
    </w:pPr>
    <w:rPr>
      <w:rFonts w:eastAsia="宋体"/>
      <w:kern w:val="0"/>
      <w:sz w:val="20"/>
      <w:szCs w:val="20"/>
    </w:rPr>
  </w:style>
  <w:style w:type="paragraph" w:customStyle="1" w:styleId="100">
    <w:name w:val="xl84"/>
    <w:basedOn w:val="1"/>
    <w:qFormat/>
    <w:uiPriority w:val="0"/>
    <w:pPr>
      <w:widowControl/>
      <w:spacing w:before="100" w:beforeAutospacing="1" w:after="100" w:afterAutospacing="1"/>
      <w:jc w:val="left"/>
    </w:pPr>
    <w:rPr>
      <w:rFonts w:ascii="宋体" w:hAnsi="宋体" w:eastAsia="宋体" w:cs="宋体"/>
      <w:color w:val="4F81BD"/>
      <w:kern w:val="0"/>
      <w:sz w:val="24"/>
    </w:rPr>
  </w:style>
  <w:style w:type="paragraph" w:customStyle="1" w:styleId="101">
    <w:name w:val="font12"/>
    <w:basedOn w:val="1"/>
    <w:qFormat/>
    <w:uiPriority w:val="0"/>
    <w:pPr>
      <w:widowControl/>
      <w:spacing w:before="100" w:beforeAutospacing="1" w:after="100" w:afterAutospacing="1"/>
      <w:jc w:val="left"/>
    </w:pPr>
    <w:rPr>
      <w:rFonts w:ascii="宋体" w:hAnsi="宋体" w:eastAsia="宋体" w:cs="宋体"/>
      <w:color w:val="4F81BD"/>
      <w:kern w:val="0"/>
      <w:sz w:val="20"/>
      <w:szCs w:val="20"/>
    </w:rPr>
  </w:style>
  <w:style w:type="paragraph" w:customStyle="1" w:styleId="102">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03">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04">
    <w:name w:val="xl69"/>
    <w:basedOn w:val="1"/>
    <w:qFormat/>
    <w:uiPriority w:val="0"/>
    <w:pPr>
      <w:widowControl/>
      <w:spacing w:before="100" w:beforeAutospacing="1" w:after="100" w:afterAutospacing="1"/>
      <w:jc w:val="center"/>
    </w:pPr>
    <w:rPr>
      <w:rFonts w:ascii="宋体" w:hAnsi="宋体" w:eastAsia="宋体" w:cs="宋体"/>
      <w:kern w:val="0"/>
      <w:sz w:val="24"/>
    </w:rPr>
  </w:style>
  <w:style w:type="paragraph" w:customStyle="1" w:styleId="105">
    <w:name w:val="xl10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eastAsia="宋体"/>
      <w:color w:val="FF0000"/>
      <w:kern w:val="0"/>
      <w:sz w:val="20"/>
      <w:szCs w:val="20"/>
    </w:rPr>
  </w:style>
  <w:style w:type="paragraph" w:customStyle="1" w:styleId="106">
    <w:name w:val="xl7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eastAsia="宋体"/>
      <w:color w:val="FF0000"/>
      <w:kern w:val="0"/>
      <w:sz w:val="20"/>
      <w:szCs w:val="20"/>
    </w:rPr>
  </w:style>
  <w:style w:type="paragraph" w:customStyle="1" w:styleId="107">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宋体"/>
      <w:color w:val="4F81BD"/>
      <w:kern w:val="0"/>
      <w:sz w:val="20"/>
      <w:szCs w:val="20"/>
    </w:rPr>
  </w:style>
  <w:style w:type="paragraph" w:customStyle="1" w:styleId="108">
    <w:name w:val="CUCD-B"/>
    <w:next w:val="1"/>
    <w:qFormat/>
    <w:uiPriority w:val="0"/>
    <w:pPr>
      <w:spacing w:before="312" w:beforeLines="100"/>
      <w:jc w:val="center"/>
      <w:outlineLvl w:val="1"/>
    </w:pPr>
    <w:rPr>
      <w:rFonts w:ascii="宋体" w:hAnsi="宋体" w:eastAsia="黑体" w:cs="Times New Roman"/>
      <w:sz w:val="48"/>
      <w:szCs w:val="48"/>
      <w:lang w:val="en-US" w:eastAsia="zh-CN" w:bidi="ar-SA"/>
    </w:rPr>
  </w:style>
  <w:style w:type="paragraph" w:customStyle="1" w:styleId="109">
    <w:name w:val="xl10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eastAsia="宋体"/>
      <w:kern w:val="0"/>
      <w:sz w:val="20"/>
      <w:szCs w:val="20"/>
    </w:rPr>
  </w:style>
  <w:style w:type="paragraph" w:styleId="110">
    <w:name w:val="List Paragraph"/>
    <w:basedOn w:val="1"/>
    <w:qFormat/>
    <w:uiPriority w:val="0"/>
    <w:pPr>
      <w:ind w:firstLine="420" w:firstLineChars="200"/>
    </w:pPr>
    <w:rPr>
      <w:rFonts w:ascii="Calibri" w:hAnsi="Calibri" w:eastAsia="宋体"/>
      <w:sz w:val="21"/>
      <w:szCs w:val="22"/>
    </w:rPr>
  </w:style>
  <w:style w:type="paragraph" w:customStyle="1" w:styleId="111">
    <w:name w:val="xl7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eastAsia="宋体"/>
      <w:kern w:val="0"/>
      <w:sz w:val="20"/>
      <w:szCs w:val="20"/>
    </w:rPr>
  </w:style>
  <w:style w:type="paragraph" w:customStyle="1" w:styleId="112">
    <w:name w:val="font17"/>
    <w:basedOn w:val="1"/>
    <w:qFormat/>
    <w:uiPriority w:val="0"/>
    <w:pPr>
      <w:widowControl/>
      <w:spacing w:before="100" w:beforeAutospacing="1" w:after="100" w:afterAutospacing="1"/>
      <w:jc w:val="left"/>
    </w:pPr>
    <w:rPr>
      <w:rFonts w:ascii="黑体" w:hAnsi="黑体" w:eastAsia="黑体" w:cs="宋体"/>
      <w:kern w:val="0"/>
      <w:sz w:val="20"/>
      <w:szCs w:val="20"/>
    </w:rPr>
  </w:style>
  <w:style w:type="paragraph" w:customStyle="1" w:styleId="113">
    <w:name w:val="xl110"/>
    <w:basedOn w:val="1"/>
    <w:qFormat/>
    <w:uiPriority w:val="0"/>
    <w:pPr>
      <w:widowControl/>
      <w:pBdr>
        <w:bottom w:val="single" w:color="auto" w:sz="8" w:space="0"/>
      </w:pBdr>
      <w:spacing w:before="100" w:beforeAutospacing="1" w:after="100" w:afterAutospacing="1"/>
      <w:jc w:val="center"/>
    </w:pPr>
    <w:rPr>
      <w:rFonts w:ascii="方正小标宋简体" w:hAnsi="宋体" w:eastAsia="方正小标宋简体" w:cs="宋体"/>
      <w:kern w:val="0"/>
      <w:sz w:val="28"/>
      <w:szCs w:val="28"/>
    </w:rPr>
  </w:style>
  <w:style w:type="paragraph" w:customStyle="1" w:styleId="114">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宋体"/>
      <w:kern w:val="0"/>
      <w:sz w:val="20"/>
      <w:szCs w:val="20"/>
    </w:rPr>
  </w:style>
  <w:style w:type="paragraph" w:customStyle="1" w:styleId="115">
    <w:name w:val="xl106"/>
    <w:basedOn w:val="1"/>
    <w:qFormat/>
    <w:uiPriority w:val="0"/>
    <w:pPr>
      <w:widowControl/>
      <w:pBdr>
        <w:top w:val="single" w:color="auto" w:sz="8" w:space="0"/>
        <w:left w:val="single" w:color="auto" w:sz="8" w:space="0"/>
        <w:right w:val="single" w:color="auto" w:sz="4" w:space="0"/>
      </w:pBdr>
      <w:spacing w:before="100" w:beforeAutospacing="1" w:after="100" w:afterAutospacing="1"/>
      <w:jc w:val="center"/>
    </w:pPr>
    <w:rPr>
      <w:rFonts w:eastAsia="宋体"/>
      <w:kern w:val="0"/>
      <w:sz w:val="20"/>
      <w:szCs w:val="20"/>
    </w:rPr>
  </w:style>
  <w:style w:type="paragraph" w:customStyle="1" w:styleId="116">
    <w:name w:val="Char Char Char Char"/>
    <w:basedOn w:val="1"/>
    <w:qFormat/>
    <w:uiPriority w:val="0"/>
    <w:rPr>
      <w:sz w:val="36"/>
      <w:szCs w:val="20"/>
    </w:rPr>
  </w:style>
  <w:style w:type="paragraph" w:customStyle="1" w:styleId="117">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宋体"/>
      <w:color w:val="FF0000"/>
      <w:kern w:val="0"/>
      <w:sz w:val="20"/>
      <w:szCs w:val="20"/>
    </w:rPr>
  </w:style>
  <w:style w:type="paragraph" w:customStyle="1" w:styleId="118">
    <w:name w:val="xl98"/>
    <w:basedOn w:val="1"/>
    <w:qFormat/>
    <w:uiPriority w:val="0"/>
    <w:pPr>
      <w:widowControl/>
      <w:pBdr>
        <w:top w:val="single" w:color="auto" w:sz="4" w:space="0"/>
        <w:bottom w:val="single" w:color="auto" w:sz="4" w:space="0"/>
        <w:right w:val="single" w:color="auto" w:sz="4" w:space="0"/>
      </w:pBdr>
      <w:shd w:val="clear" w:color="000000" w:fill="FFFF00"/>
      <w:spacing w:before="100" w:beforeAutospacing="1" w:after="100" w:afterAutospacing="1"/>
      <w:jc w:val="center"/>
    </w:pPr>
    <w:rPr>
      <w:rFonts w:eastAsia="宋体"/>
      <w:kern w:val="0"/>
      <w:sz w:val="20"/>
      <w:szCs w:val="20"/>
    </w:rPr>
  </w:style>
  <w:style w:type="character" w:customStyle="1" w:styleId="119">
    <w:name w:val="Char Char3"/>
    <w:qFormat/>
    <w:locked/>
    <w:uiPriority w:val="0"/>
    <w:rPr>
      <w:rFonts w:ascii="Arial" w:hAnsi="Arial" w:eastAsia="黑体"/>
      <w:b/>
      <w:kern w:val="2"/>
      <w:sz w:val="32"/>
      <w:lang w:val="en-US" w:eastAsia="zh-CN"/>
    </w:rPr>
  </w:style>
  <w:style w:type="character" w:customStyle="1" w:styleId="120">
    <w:name w:val="文档结构图 Char"/>
    <w:link w:val="11"/>
    <w:qFormat/>
    <w:locked/>
    <w:uiPriority w:val="0"/>
    <w:rPr>
      <w:rFonts w:cs="Times New Roman"/>
      <w:kern w:val="2"/>
      <w:sz w:val="24"/>
      <w:shd w:val="clear" w:color="auto" w:fill="000080"/>
    </w:rPr>
  </w:style>
  <w:style w:type="character" w:customStyle="1" w:styleId="121">
    <w:name w:val="页脚 Char"/>
    <w:link w:val="22"/>
    <w:qFormat/>
    <w:locked/>
    <w:uiPriority w:val="0"/>
    <w:rPr>
      <w:rFonts w:eastAsia="仿宋_GB2312" w:cs="Times New Roman"/>
      <w:kern w:val="2"/>
      <w:sz w:val="18"/>
    </w:rPr>
  </w:style>
  <w:style w:type="character" w:customStyle="1" w:styleId="122">
    <w:name w:val="纯文本 Char"/>
    <w:link w:val="17"/>
    <w:qFormat/>
    <w:locked/>
    <w:uiPriority w:val="0"/>
    <w:rPr>
      <w:rFonts w:ascii="宋体" w:hAnsi="Courier New" w:cs="Times New Roman"/>
      <w:kern w:val="2"/>
      <w:sz w:val="21"/>
    </w:rPr>
  </w:style>
  <w:style w:type="character" w:customStyle="1" w:styleId="123">
    <w:name w:val="页眉 Char"/>
    <w:link w:val="23"/>
    <w:qFormat/>
    <w:locked/>
    <w:uiPriority w:val="0"/>
    <w:rPr>
      <w:rFonts w:eastAsia="仿宋_GB2312" w:cs="Times New Roman"/>
      <w:kern w:val="2"/>
      <w:sz w:val="18"/>
    </w:rPr>
  </w:style>
  <w:style w:type="character" w:customStyle="1" w:styleId="124">
    <w:name w:val="批注文字 Char"/>
    <w:link w:val="7"/>
    <w:qFormat/>
    <w:locked/>
    <w:uiPriority w:val="0"/>
    <w:rPr>
      <w:rFonts w:cs="Times New Roman"/>
      <w:kern w:val="2"/>
      <w:sz w:val="24"/>
    </w:rPr>
  </w:style>
  <w:style w:type="character" w:customStyle="1" w:styleId="125">
    <w:name w:val="正文文本缩进 Char"/>
    <w:link w:val="14"/>
    <w:qFormat/>
    <w:locked/>
    <w:uiPriority w:val="0"/>
    <w:rPr>
      <w:rFonts w:eastAsia="仿宋_GB2312" w:cs="Times New Roman"/>
      <w:kern w:val="2"/>
      <w:sz w:val="24"/>
      <w:szCs w:val="24"/>
    </w:rPr>
  </w:style>
  <w:style w:type="character" w:customStyle="1" w:styleId="126">
    <w:name w:val="副标题 Char"/>
    <w:link w:val="26"/>
    <w:qFormat/>
    <w:uiPriority w:val="0"/>
    <w:rPr>
      <w:rFonts w:ascii="Cambria" w:hAnsi="Cambria"/>
      <w:b/>
      <w:bCs/>
      <w:kern w:val="28"/>
      <w:sz w:val="32"/>
      <w:szCs w:val="32"/>
    </w:rPr>
  </w:style>
  <w:style w:type="character" w:customStyle="1" w:styleId="127">
    <w:name w:val="正文文本缩进 3 Char"/>
    <w:link w:val="29"/>
    <w:qFormat/>
    <w:locked/>
    <w:uiPriority w:val="0"/>
    <w:rPr>
      <w:rFonts w:ascii="黑体" w:eastAsia="黑体" w:cs="Times New Roman"/>
      <w:b/>
      <w:kern w:val="2"/>
      <w:sz w:val="24"/>
    </w:rPr>
  </w:style>
  <w:style w:type="character" w:customStyle="1" w:styleId="128">
    <w:name w:val="标题 1 Char"/>
    <w:link w:val="2"/>
    <w:qFormat/>
    <w:locked/>
    <w:uiPriority w:val="0"/>
    <w:rPr>
      <w:rFonts w:eastAsia="仿宋_GB2312" w:cs="Times New Roman"/>
      <w:b/>
      <w:kern w:val="44"/>
      <w:sz w:val="44"/>
    </w:rPr>
  </w:style>
  <w:style w:type="character" w:customStyle="1" w:styleId="129">
    <w:name w:val="ca-21"/>
    <w:qFormat/>
    <w:uiPriority w:val="0"/>
    <w:rPr>
      <w:rFonts w:ascii="仿宋_GB2312" w:eastAsia="仿宋_GB2312"/>
      <w:sz w:val="32"/>
    </w:rPr>
  </w:style>
  <w:style w:type="character" w:customStyle="1" w:styleId="130">
    <w:name w:val="标题 4 Char"/>
    <w:link w:val="5"/>
    <w:semiHidden/>
    <w:qFormat/>
    <w:uiPriority w:val="0"/>
    <w:rPr>
      <w:rFonts w:ascii="Cambria" w:hAnsi="Cambria"/>
      <w:b/>
      <w:bCs/>
      <w:kern w:val="2"/>
      <w:sz w:val="28"/>
      <w:szCs w:val="28"/>
    </w:rPr>
  </w:style>
  <w:style w:type="character" w:customStyle="1" w:styleId="131">
    <w:name w:val="标题 2 Char"/>
    <w:link w:val="3"/>
    <w:qFormat/>
    <w:locked/>
    <w:uiPriority w:val="0"/>
    <w:rPr>
      <w:rFonts w:ascii="Arial" w:hAnsi="Arial" w:eastAsia="黑体" w:cs="Times New Roman"/>
      <w:b/>
      <w:kern w:val="2"/>
      <w:sz w:val="32"/>
    </w:rPr>
  </w:style>
  <w:style w:type="character" w:customStyle="1" w:styleId="132">
    <w:name w:val="正文文本缩进 2 Char"/>
    <w:link w:val="20"/>
    <w:qFormat/>
    <w:locked/>
    <w:uiPriority w:val="0"/>
    <w:rPr>
      <w:rFonts w:eastAsia="仿宋_GB2312" w:cs="Times New Roman"/>
      <w:kern w:val="2"/>
      <w:sz w:val="24"/>
      <w:szCs w:val="24"/>
    </w:rPr>
  </w:style>
  <w:style w:type="character" w:customStyle="1" w:styleId="133">
    <w:name w:val="日期 Char"/>
    <w:link w:val="19"/>
    <w:qFormat/>
    <w:uiPriority w:val="0"/>
    <w:rPr>
      <w:rFonts w:eastAsia="仿宋_GB2312"/>
      <w:kern w:val="2"/>
      <w:sz w:val="32"/>
      <w:szCs w:val="24"/>
    </w:rPr>
  </w:style>
  <w:style w:type="character" w:customStyle="1" w:styleId="134">
    <w:name w:val="称呼 Char"/>
    <w:link w:val="12"/>
    <w:qFormat/>
    <w:locked/>
    <w:uiPriority w:val="0"/>
    <w:rPr>
      <w:rFonts w:eastAsia="仿宋_GB2312" w:cs="Times New Roman"/>
      <w:kern w:val="2"/>
      <w:sz w:val="24"/>
      <w:szCs w:val="24"/>
    </w:rPr>
  </w:style>
  <w:style w:type="character" w:customStyle="1" w:styleId="135">
    <w:name w:val="批注框文本 Char"/>
    <w:link w:val="21"/>
    <w:semiHidden/>
    <w:qFormat/>
    <w:locked/>
    <w:uiPriority w:val="0"/>
    <w:rPr>
      <w:rFonts w:eastAsia="仿宋_GB2312" w:cs="Times New Roman"/>
      <w:kern w:val="2"/>
      <w:sz w:val="18"/>
    </w:rPr>
  </w:style>
  <w:style w:type="character" w:customStyle="1" w:styleId="136">
    <w:name w:val="标题 3 Char"/>
    <w:link w:val="4"/>
    <w:qFormat/>
    <w:locked/>
    <w:uiPriority w:val="0"/>
    <w:rPr>
      <w:rFonts w:cs="Times New Roman"/>
      <w:b/>
      <w:kern w:val="2"/>
      <w:sz w:val="32"/>
    </w:rPr>
  </w:style>
  <w:style w:type="character" w:customStyle="1" w:styleId="137">
    <w:name w:val="正文文本 Char"/>
    <w:link w:val="13"/>
    <w:qFormat/>
    <w:locked/>
    <w:uiPriority w:val="0"/>
    <w:rPr>
      <w:rFonts w:eastAsia="仿宋_GB2312" w:cs="Times New Roman"/>
      <w:kern w:val="2"/>
      <w:sz w:val="24"/>
      <w:szCs w:val="24"/>
    </w:rPr>
  </w:style>
  <w:style w:type="character" w:customStyle="1" w:styleId="138">
    <w:name w:val="标题 Char"/>
    <w:link w:val="34"/>
    <w:qFormat/>
    <w:locked/>
    <w:uiPriority w:val="0"/>
    <w:rPr>
      <w:rFonts w:ascii="Cambria" w:hAnsi="Cambria" w:cs="Times New Roman"/>
      <w:b/>
      <w:kern w:val="2"/>
      <w:sz w:val="32"/>
    </w:rPr>
  </w:style>
  <w:style w:type="character" w:customStyle="1" w:styleId="139">
    <w:name w:val="脚注文本 Char"/>
    <w:link w:val="27"/>
    <w:qFormat/>
    <w:locked/>
    <w:uiPriority w:val="0"/>
    <w:rPr>
      <w:rFonts w:cs="Times New Roman"/>
      <w:kern w:val="2"/>
      <w:sz w:val="18"/>
    </w:rPr>
  </w:style>
  <w:style w:type="character" w:customStyle="1" w:styleId="140">
    <w:name w:val="HTML 预设格式 Char"/>
    <w:link w:val="32"/>
    <w:qFormat/>
    <w:uiPriority w:val="99"/>
    <w:rPr>
      <w:rFonts w:ascii="宋体" w:hAnsi="宋体" w:cs="宋体"/>
      <w:sz w:val="24"/>
      <w:szCs w:val="24"/>
    </w:rPr>
  </w:style>
  <w:style w:type="character" w:customStyle="1" w:styleId="141">
    <w:name w:val="批注主题 Char"/>
    <w:link w:val="6"/>
    <w:qFormat/>
    <w:locked/>
    <w:uiPriority w:val="0"/>
    <w:rPr>
      <w:rFonts w:cs="Times New Roman"/>
      <w:b/>
      <w:kern w:val="2"/>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20</Pages>
  <Words>1552</Words>
  <Characters>8853</Characters>
  <Lines>73</Lines>
  <Paragraphs>20</Paragraphs>
  <TotalTime>162</TotalTime>
  <ScaleCrop>false</ScaleCrop>
  <LinksUpToDate>false</LinksUpToDate>
  <CharactersWithSpaces>10385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2014-05-22T06:21:00Z</dcterms:created>
  <dc:creator>sc</dc:creator>
  <cp:lastModifiedBy>王睿</cp:lastModifiedBy>
  <cp:lastPrinted>2019-05-09T03:02:00Z</cp:lastPrinted>
  <dcterms:modified xsi:type="dcterms:W3CDTF">2019-06-26T08:18:15Z</dcterms:modified>
  <dc:title>四川省发展计划委员会关于2003年度目标执行情况的自查报告</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